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E61" w:rsidRDefault="00E47E61">
      <w:pPr>
        <w:spacing w:line="600" w:lineRule="exact"/>
        <w:jc w:val="center"/>
        <w:outlineLvl w:val="0"/>
        <w:rPr>
          <w:rFonts w:ascii="方正小标宋简体" w:eastAsia="方正小标宋简体" w:hAnsi="宋体"/>
          <w:color w:val="000000"/>
          <w:sz w:val="72"/>
          <w:szCs w:val="72"/>
        </w:rPr>
      </w:pPr>
      <w:bookmarkStart w:id="0" w:name="_Toc15306267"/>
    </w:p>
    <w:p w:rsidR="00E47E61" w:rsidRDefault="00E47E61">
      <w:pPr>
        <w:spacing w:line="600" w:lineRule="exact"/>
        <w:jc w:val="center"/>
        <w:outlineLvl w:val="0"/>
        <w:rPr>
          <w:rFonts w:ascii="方正小标宋简体" w:eastAsia="方正小标宋简体" w:hAnsi="宋体"/>
          <w:color w:val="000000"/>
          <w:sz w:val="72"/>
          <w:szCs w:val="72"/>
        </w:rPr>
      </w:pPr>
    </w:p>
    <w:p w:rsidR="00E47E61" w:rsidRDefault="00E47E61">
      <w:pPr>
        <w:spacing w:line="600" w:lineRule="exact"/>
        <w:jc w:val="center"/>
        <w:outlineLvl w:val="0"/>
        <w:rPr>
          <w:rFonts w:ascii="方正小标宋简体" w:eastAsia="方正小标宋简体" w:hAnsi="宋体"/>
          <w:color w:val="000000"/>
          <w:sz w:val="72"/>
          <w:szCs w:val="72"/>
        </w:rPr>
      </w:pPr>
    </w:p>
    <w:p w:rsidR="00E47E61" w:rsidRDefault="00E47E61">
      <w:pPr>
        <w:spacing w:line="600" w:lineRule="exact"/>
        <w:jc w:val="center"/>
        <w:outlineLvl w:val="0"/>
        <w:rPr>
          <w:rFonts w:ascii="方正小标宋简体" w:eastAsia="方正小标宋简体" w:hAnsi="宋体"/>
          <w:color w:val="000000"/>
          <w:sz w:val="72"/>
          <w:szCs w:val="72"/>
        </w:rPr>
      </w:pPr>
    </w:p>
    <w:p w:rsidR="00E47E61" w:rsidRDefault="00DD0F2B">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96475"/>
      <w:bookmarkStart w:id="3" w:name="_Toc15378441"/>
      <w:bookmarkStart w:id="4" w:name="_Toc15377193"/>
      <w:bookmarkStart w:id="5" w:name="_Toc1537742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E47E61" w:rsidRDefault="00DD0F2B">
      <w:pPr>
        <w:adjustRightInd w:val="0"/>
        <w:snapToGrid w:val="0"/>
        <w:spacing w:line="360" w:lineRule="auto"/>
        <w:jc w:val="center"/>
        <w:outlineLvl w:val="0"/>
        <w:rPr>
          <w:rFonts w:ascii="方正小标宋简体" w:eastAsia="方正小标宋简体" w:hAnsi="宋体"/>
          <w:color w:val="000000"/>
          <w:sz w:val="56"/>
          <w:szCs w:val="72"/>
        </w:rPr>
      </w:pPr>
      <w:bookmarkStart w:id="6" w:name="_Toc15396476"/>
      <w:bookmarkStart w:id="7" w:name="_Toc15377426"/>
      <w:bookmarkStart w:id="8" w:name="_Toc15396598"/>
      <w:bookmarkStart w:id="9" w:name="_Toc15378442"/>
      <w:bookmarkStart w:id="10" w:name="_Toc15377194"/>
      <w:r>
        <w:rPr>
          <w:rFonts w:ascii="方正小标宋简体" w:eastAsia="方正小标宋简体" w:hAnsi="宋体" w:hint="eastAsia"/>
          <w:color w:val="000000"/>
          <w:sz w:val="56"/>
          <w:szCs w:val="72"/>
        </w:rPr>
        <w:t>四川省</w:t>
      </w:r>
      <w:bookmarkStart w:id="11" w:name="_Toc15306268"/>
      <w:bookmarkEnd w:id="0"/>
      <w:r>
        <w:rPr>
          <w:rFonts w:ascii="方正小标宋简体" w:eastAsia="方正小标宋简体" w:hAnsi="宋体" w:hint="eastAsia"/>
          <w:color w:val="000000"/>
          <w:sz w:val="56"/>
          <w:szCs w:val="72"/>
        </w:rPr>
        <w:t>南充市营山县纪委监委</w:t>
      </w:r>
    </w:p>
    <w:p w:rsidR="00E47E61" w:rsidRDefault="00DD0F2B">
      <w:pPr>
        <w:adjustRightInd w:val="0"/>
        <w:snapToGrid w:val="0"/>
        <w:spacing w:line="360" w:lineRule="auto"/>
        <w:jc w:val="center"/>
        <w:outlineLvl w:val="0"/>
        <w:rPr>
          <w:rFonts w:ascii="方正小标宋简体" w:eastAsia="方正小标宋简体" w:hAnsi="宋体"/>
          <w:color w:val="000000"/>
          <w:sz w:val="56"/>
          <w:szCs w:val="72"/>
        </w:rPr>
      </w:pPr>
      <w:r>
        <w:rPr>
          <w:rFonts w:ascii="方正小标宋简体" w:eastAsia="方正小标宋简体" w:hAnsi="宋体" w:hint="eastAsia"/>
          <w:color w:val="000000"/>
          <w:sz w:val="56"/>
          <w:szCs w:val="72"/>
        </w:rPr>
        <w:t>部门决算</w:t>
      </w:r>
      <w:bookmarkEnd w:id="6"/>
      <w:bookmarkEnd w:id="7"/>
      <w:bookmarkEnd w:id="8"/>
      <w:bookmarkEnd w:id="9"/>
      <w:bookmarkEnd w:id="10"/>
      <w:bookmarkEnd w:id="11"/>
    </w:p>
    <w:p w:rsidR="00E47E61" w:rsidRDefault="00DD0F2B">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E47E61" w:rsidRDefault="00E47E61">
      <w:pPr>
        <w:widowControl/>
        <w:jc w:val="center"/>
        <w:rPr>
          <w:rFonts w:ascii="黑体" w:eastAsia="黑体" w:hAnsi="黑体" w:cstheme="minorBidi"/>
          <w:sz w:val="28"/>
          <w:szCs w:val="28"/>
        </w:rPr>
      </w:pPr>
    </w:p>
    <w:p w:rsidR="00E47E61" w:rsidRPr="00E00DE6" w:rsidRDefault="00DD0F2B">
      <w:pPr>
        <w:pStyle w:val="10"/>
        <w:rPr>
          <w:sz w:val="30"/>
          <w:szCs w:val="30"/>
        </w:rPr>
      </w:pPr>
      <w:r w:rsidRPr="00E00DE6">
        <w:rPr>
          <w:rFonts w:hint="eastAsia"/>
          <w:sz w:val="30"/>
          <w:szCs w:val="30"/>
        </w:rPr>
        <w:t>公开时间：</w:t>
      </w:r>
      <w:r w:rsidRPr="00E00DE6">
        <w:rPr>
          <w:rFonts w:hint="eastAsia"/>
          <w:sz w:val="30"/>
          <w:szCs w:val="30"/>
        </w:rPr>
        <w:t>2020</w:t>
      </w:r>
      <w:r w:rsidRPr="00E00DE6">
        <w:rPr>
          <w:rFonts w:hint="eastAsia"/>
          <w:sz w:val="30"/>
          <w:szCs w:val="30"/>
        </w:rPr>
        <w:t>年</w:t>
      </w:r>
      <w:r w:rsidRPr="00E00DE6">
        <w:rPr>
          <w:rFonts w:hint="eastAsia"/>
          <w:sz w:val="30"/>
          <w:szCs w:val="30"/>
        </w:rPr>
        <w:t>9</w:t>
      </w:r>
      <w:r w:rsidRPr="00E00DE6">
        <w:rPr>
          <w:rFonts w:hint="eastAsia"/>
          <w:sz w:val="30"/>
          <w:szCs w:val="30"/>
        </w:rPr>
        <w:t>月</w:t>
      </w:r>
      <w:r w:rsidRPr="00E00DE6">
        <w:rPr>
          <w:rFonts w:hint="eastAsia"/>
          <w:sz w:val="30"/>
          <w:szCs w:val="30"/>
        </w:rPr>
        <w:t>3</w:t>
      </w:r>
      <w:r w:rsidRPr="00E00DE6">
        <w:rPr>
          <w:sz w:val="30"/>
          <w:szCs w:val="30"/>
        </w:rPr>
        <w:t>0</w:t>
      </w:r>
      <w:r w:rsidRPr="00E00DE6">
        <w:rPr>
          <w:rFonts w:hint="eastAsia"/>
          <w:sz w:val="30"/>
          <w:szCs w:val="30"/>
        </w:rPr>
        <w:t>日</w:t>
      </w:r>
    </w:p>
    <w:p w:rsidR="00E47E61" w:rsidRDefault="00E47E61"/>
    <w:p w:rsidR="00E47E61" w:rsidRPr="00E00DE6" w:rsidRDefault="00DD0F2B">
      <w:pPr>
        <w:pStyle w:val="10"/>
        <w:adjustRightInd w:val="0"/>
        <w:snapToGrid w:val="0"/>
        <w:spacing w:before="0" w:line="440" w:lineRule="exact"/>
        <w:jc w:val="left"/>
        <w:rPr>
          <w:rFonts w:cstheme="minorBidi"/>
        </w:rPr>
      </w:pPr>
      <w:r w:rsidRPr="00E00DE6">
        <w:rPr>
          <w:rFonts w:hint="eastAsia"/>
        </w:rPr>
        <w:t>第一部分部门概况</w:t>
      </w:r>
    </w:p>
    <w:p w:rsidR="00E47E61" w:rsidRPr="00E00DE6" w:rsidRDefault="00E00DE6">
      <w:pPr>
        <w:pStyle w:val="20"/>
        <w:adjustRightInd w:val="0"/>
        <w:snapToGrid w:val="0"/>
        <w:spacing w:line="440" w:lineRule="exact"/>
        <w:jc w:val="left"/>
        <w:rPr>
          <w:rFonts w:ascii="仿宋" w:eastAsia="仿宋" w:hAnsi="仿宋"/>
          <w:sz w:val="28"/>
          <w:szCs w:val="28"/>
        </w:rPr>
      </w:pPr>
      <w:r>
        <w:rPr>
          <w:rFonts w:ascii="仿宋" w:eastAsia="仿宋" w:hAnsi="仿宋" w:hint="eastAsia"/>
          <w:sz w:val="28"/>
          <w:szCs w:val="28"/>
        </w:rPr>
        <w:t>一、</w:t>
      </w:r>
      <w:r w:rsidR="00FD4295">
        <w:rPr>
          <w:rFonts w:ascii="仿宋" w:eastAsia="仿宋" w:hAnsi="仿宋" w:hint="eastAsia"/>
          <w:sz w:val="28"/>
          <w:szCs w:val="28"/>
        </w:rPr>
        <w:t xml:space="preserve"> </w:t>
      </w:r>
      <w:r w:rsidR="00DD0F2B" w:rsidRPr="00E00DE6">
        <w:rPr>
          <w:rFonts w:ascii="仿宋" w:eastAsia="仿宋" w:hAnsi="仿宋" w:hint="eastAsia"/>
          <w:sz w:val="28"/>
          <w:szCs w:val="28"/>
        </w:rPr>
        <w:t>基本职能及主要工作</w:t>
      </w:r>
      <w:r w:rsidR="00AE4004">
        <w:rPr>
          <w:rFonts w:ascii="仿宋" w:eastAsia="仿宋" w:hAnsi="仿宋" w:hint="eastAsia"/>
          <w:sz w:val="28"/>
          <w:szCs w:val="28"/>
        </w:rPr>
        <w:t>……</w:t>
      </w:r>
      <w:r w:rsidR="00EE1DE0">
        <w:rPr>
          <w:rFonts w:ascii="仿宋" w:eastAsia="仿宋" w:hAnsi="仿宋" w:hint="eastAsia"/>
          <w:sz w:val="28"/>
          <w:szCs w:val="28"/>
        </w:rPr>
        <w:t>…</w:t>
      </w:r>
      <w:r w:rsidR="00AE4004">
        <w:rPr>
          <w:rFonts w:ascii="仿宋" w:eastAsia="仿宋" w:hAnsi="仿宋" w:hint="eastAsia"/>
          <w:sz w:val="28"/>
          <w:szCs w:val="28"/>
        </w:rPr>
        <w:t xml:space="preserve">…………………………………4                         </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二、</w:t>
      </w:r>
      <w:r w:rsidR="00FD4295">
        <w:rPr>
          <w:rFonts w:ascii="仿宋" w:eastAsia="仿宋" w:hAnsi="仿宋" w:hint="eastAsia"/>
          <w:sz w:val="28"/>
          <w:szCs w:val="28"/>
        </w:rPr>
        <w:t xml:space="preserve"> </w:t>
      </w:r>
      <w:r w:rsidRPr="00E00DE6">
        <w:rPr>
          <w:rFonts w:ascii="仿宋" w:eastAsia="仿宋" w:hAnsi="仿宋" w:hint="eastAsia"/>
          <w:sz w:val="28"/>
          <w:szCs w:val="28"/>
        </w:rPr>
        <w:t>机构设置</w:t>
      </w:r>
      <w:r w:rsidR="00AE4004">
        <w:rPr>
          <w:rFonts w:ascii="仿宋" w:eastAsia="仿宋" w:hAnsi="仿宋" w:hint="eastAsia"/>
          <w:sz w:val="28"/>
          <w:szCs w:val="28"/>
        </w:rPr>
        <w:t>………………………………………………………</w:t>
      </w:r>
      <w:r w:rsidR="00E00DE6">
        <w:rPr>
          <w:rFonts w:ascii="仿宋" w:eastAsia="仿宋" w:hAnsi="仿宋" w:hint="eastAsia"/>
          <w:sz w:val="28"/>
          <w:szCs w:val="28"/>
        </w:rPr>
        <w:t>5</w:t>
      </w:r>
    </w:p>
    <w:p w:rsidR="00E47E61" w:rsidRPr="00E00DE6" w:rsidRDefault="00DD0F2B">
      <w:pPr>
        <w:pStyle w:val="10"/>
        <w:adjustRightInd w:val="0"/>
        <w:snapToGrid w:val="0"/>
        <w:spacing w:before="0" w:line="440" w:lineRule="exact"/>
        <w:jc w:val="left"/>
      </w:pPr>
      <w:r w:rsidRPr="00E00DE6">
        <w:rPr>
          <w:rFonts w:hint="eastAsia"/>
        </w:rPr>
        <w:t>第二部分度部门决算情况说明</w:t>
      </w:r>
    </w:p>
    <w:p w:rsidR="00E47E61" w:rsidRPr="00E00DE6" w:rsidRDefault="00E00DE6">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一、 收入支出决算总体情况说明</w:t>
      </w:r>
      <w:r w:rsidR="00AE4004">
        <w:rPr>
          <w:rFonts w:ascii="仿宋" w:eastAsia="仿宋" w:hAnsi="仿宋" w:hint="eastAsia"/>
          <w:sz w:val="28"/>
          <w:szCs w:val="28"/>
        </w:rPr>
        <w:t>…………………………………</w:t>
      </w:r>
      <w:r>
        <w:rPr>
          <w:rFonts w:ascii="仿宋" w:eastAsia="仿宋" w:hAnsi="仿宋" w:hint="eastAsia"/>
          <w:sz w:val="28"/>
          <w:szCs w:val="28"/>
        </w:rPr>
        <w:t>6</w:t>
      </w:r>
    </w:p>
    <w:p w:rsidR="00E47E61" w:rsidRPr="00E00DE6" w:rsidRDefault="00E00DE6">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二、</w:t>
      </w:r>
      <w:r w:rsidR="00FD4295">
        <w:rPr>
          <w:rFonts w:ascii="仿宋" w:eastAsia="仿宋" w:hAnsi="仿宋" w:hint="eastAsia"/>
          <w:sz w:val="28"/>
          <w:szCs w:val="28"/>
        </w:rPr>
        <w:t xml:space="preserve"> </w:t>
      </w:r>
      <w:r w:rsidR="00DD0F2B" w:rsidRPr="00E00DE6">
        <w:rPr>
          <w:rFonts w:ascii="仿宋" w:eastAsia="仿宋" w:hAnsi="仿宋" w:hint="eastAsia"/>
          <w:sz w:val="28"/>
          <w:szCs w:val="28"/>
        </w:rPr>
        <w:t>收入决算情况说明</w:t>
      </w:r>
      <w:r w:rsidRPr="00E00DE6">
        <w:rPr>
          <w:rFonts w:hint="eastAsia"/>
        </w:rPr>
        <w:t xml:space="preserve"> </w:t>
      </w:r>
      <w:r>
        <w:rPr>
          <w:rFonts w:ascii="仿宋" w:eastAsia="仿宋" w:hAnsi="仿宋" w:hint="eastAsia"/>
          <w:sz w:val="28"/>
          <w:szCs w:val="28"/>
        </w:rPr>
        <w:t>…</w:t>
      </w:r>
      <w:r w:rsidRPr="00E00DE6">
        <w:rPr>
          <w:rFonts w:ascii="仿宋" w:eastAsia="仿宋" w:hAnsi="仿宋" w:hint="eastAsia"/>
          <w:sz w:val="28"/>
          <w:szCs w:val="28"/>
        </w:rPr>
        <w:t>……………………</w:t>
      </w:r>
      <w:r w:rsidR="00AE4004">
        <w:rPr>
          <w:rFonts w:ascii="仿宋" w:eastAsia="仿宋" w:hAnsi="仿宋" w:hint="eastAsia"/>
          <w:sz w:val="28"/>
          <w:szCs w:val="28"/>
        </w:rPr>
        <w:t>…</w:t>
      </w:r>
      <w:r w:rsidRPr="00E00DE6">
        <w:rPr>
          <w:rFonts w:ascii="仿宋" w:eastAsia="仿宋" w:hAnsi="仿宋" w:hint="eastAsia"/>
          <w:sz w:val="28"/>
          <w:szCs w:val="28"/>
        </w:rPr>
        <w:t>………………</w:t>
      </w:r>
      <w:r w:rsidR="00AE4004">
        <w:rPr>
          <w:rFonts w:ascii="仿宋" w:eastAsia="仿宋" w:hAnsi="仿宋" w:hint="eastAsia"/>
          <w:sz w:val="28"/>
          <w:szCs w:val="28"/>
        </w:rPr>
        <w:t>…</w:t>
      </w:r>
      <w:r>
        <w:rPr>
          <w:rFonts w:ascii="仿宋" w:eastAsia="仿宋" w:hAnsi="仿宋" w:hint="eastAsia"/>
          <w:sz w:val="28"/>
          <w:szCs w:val="28"/>
        </w:rPr>
        <w:t>6</w:t>
      </w:r>
    </w:p>
    <w:p w:rsidR="00E47E61" w:rsidRPr="00E00DE6" w:rsidRDefault="00E00DE6">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三、 支出决算情况说明</w:t>
      </w:r>
      <w:r w:rsidR="00AE4004">
        <w:rPr>
          <w:rFonts w:ascii="仿宋" w:eastAsia="仿宋" w:hAnsi="仿宋" w:hint="eastAsia"/>
          <w:sz w:val="28"/>
          <w:szCs w:val="28"/>
        </w:rPr>
        <w:t>……………………………………………</w:t>
      </w:r>
      <w:r>
        <w:rPr>
          <w:rFonts w:ascii="仿宋" w:eastAsia="仿宋" w:hAnsi="仿宋" w:hint="eastAsia"/>
          <w:sz w:val="28"/>
          <w:szCs w:val="28"/>
        </w:rPr>
        <w:t>7</w:t>
      </w:r>
    </w:p>
    <w:p w:rsidR="00E47E61" w:rsidRPr="00E00DE6" w:rsidRDefault="00E00DE6">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四、</w:t>
      </w:r>
      <w:r w:rsidR="00FD4295">
        <w:rPr>
          <w:rFonts w:ascii="仿宋" w:eastAsia="仿宋" w:hAnsi="仿宋" w:hint="eastAsia"/>
          <w:sz w:val="28"/>
          <w:szCs w:val="28"/>
        </w:rPr>
        <w:t xml:space="preserve"> </w:t>
      </w:r>
      <w:r>
        <w:rPr>
          <w:rFonts w:ascii="仿宋" w:eastAsia="仿宋" w:hAnsi="仿宋" w:hint="eastAsia"/>
          <w:sz w:val="28"/>
          <w:szCs w:val="28"/>
        </w:rPr>
        <w:t>财政拨款收入支出决算总体情况说</w:t>
      </w:r>
      <w:r w:rsidR="00FD4295">
        <w:rPr>
          <w:rFonts w:ascii="仿宋" w:eastAsia="仿宋" w:hAnsi="仿宋" w:hint="eastAsia"/>
          <w:sz w:val="28"/>
          <w:szCs w:val="28"/>
        </w:rPr>
        <w:t>…………………………8</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五、</w:t>
      </w:r>
      <w:r w:rsidR="00FD4295">
        <w:rPr>
          <w:rFonts w:ascii="仿宋" w:eastAsia="仿宋" w:hAnsi="仿宋" w:hint="eastAsia"/>
          <w:sz w:val="28"/>
          <w:szCs w:val="28"/>
        </w:rPr>
        <w:t xml:space="preserve"> </w:t>
      </w:r>
      <w:r w:rsidRPr="00E00DE6">
        <w:rPr>
          <w:rFonts w:ascii="仿宋" w:eastAsia="仿宋" w:hAnsi="仿宋" w:hint="eastAsia"/>
          <w:sz w:val="28"/>
          <w:szCs w:val="28"/>
        </w:rPr>
        <w:t>一般公共预算财政拨款支出决算情况说明</w:t>
      </w:r>
      <w:r w:rsidR="00FD4295">
        <w:rPr>
          <w:rFonts w:ascii="仿宋" w:eastAsia="仿宋" w:hAnsi="仿宋" w:hint="eastAsia"/>
          <w:sz w:val="28"/>
          <w:szCs w:val="28"/>
        </w:rPr>
        <w:t>…………………8</w:t>
      </w:r>
    </w:p>
    <w:p w:rsidR="00E47E61" w:rsidRPr="00E00DE6" w:rsidRDefault="00FD4295">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六、</w:t>
      </w:r>
      <w:r w:rsidR="00DD0F2B" w:rsidRPr="00E00DE6">
        <w:rPr>
          <w:rFonts w:ascii="仿宋" w:eastAsia="仿宋" w:hAnsi="仿宋" w:hint="eastAsia"/>
          <w:sz w:val="28"/>
          <w:szCs w:val="28"/>
        </w:rPr>
        <w:t>一般公共预算财政拨款基本支出决算情况说明</w:t>
      </w:r>
      <w:r w:rsidR="007A262E">
        <w:rPr>
          <w:rFonts w:ascii="仿宋" w:eastAsia="仿宋" w:hAnsi="仿宋" w:hint="eastAsia"/>
          <w:sz w:val="28"/>
          <w:szCs w:val="28"/>
        </w:rPr>
        <w:t>……………10</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七、</w:t>
      </w:r>
      <w:r w:rsidRPr="00E00DE6">
        <w:rPr>
          <w:rFonts w:ascii="仿宋" w:eastAsia="仿宋" w:hAnsi="仿宋"/>
          <w:sz w:val="28"/>
          <w:szCs w:val="28"/>
        </w:rPr>
        <w:t>“</w:t>
      </w:r>
      <w:r w:rsidRPr="00E00DE6">
        <w:rPr>
          <w:rFonts w:ascii="仿宋" w:eastAsia="仿宋" w:hAnsi="仿宋" w:hint="eastAsia"/>
          <w:sz w:val="28"/>
          <w:szCs w:val="28"/>
        </w:rPr>
        <w:t>三公”经费财政拨款支出决算情况说明</w:t>
      </w:r>
      <w:r w:rsidR="00E00DE6" w:rsidRPr="00E00DE6">
        <w:rPr>
          <w:rFonts w:ascii="仿宋" w:eastAsia="仿宋" w:hAnsi="仿宋" w:hint="eastAsia"/>
          <w:sz w:val="28"/>
          <w:szCs w:val="28"/>
        </w:rPr>
        <w:t>…………………</w:t>
      </w:r>
      <w:r w:rsidR="007A262E">
        <w:rPr>
          <w:rFonts w:ascii="仿宋" w:eastAsia="仿宋" w:hAnsi="仿宋" w:hint="eastAsia"/>
          <w:sz w:val="28"/>
          <w:szCs w:val="28"/>
        </w:rPr>
        <w:t>11</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八、政府性基金预算支出决算情况说明</w:t>
      </w:r>
      <w:r w:rsidR="00E00DE6">
        <w:rPr>
          <w:rFonts w:ascii="仿宋" w:eastAsia="仿宋" w:hAnsi="仿宋" w:hint="eastAsia"/>
          <w:sz w:val="28"/>
          <w:szCs w:val="28"/>
        </w:rPr>
        <w:t>…………………………</w:t>
      </w:r>
      <w:r w:rsidR="007A262E">
        <w:rPr>
          <w:rFonts w:ascii="仿宋" w:eastAsia="仿宋" w:hAnsi="仿宋" w:hint="eastAsia"/>
          <w:sz w:val="28"/>
          <w:szCs w:val="28"/>
        </w:rPr>
        <w:t>13</w:t>
      </w:r>
    </w:p>
    <w:p w:rsidR="00E47E61" w:rsidRPr="00E00DE6" w:rsidRDefault="00DD0F2B">
      <w:pPr>
        <w:pStyle w:val="20"/>
        <w:adjustRightInd w:val="0"/>
        <w:snapToGrid w:val="0"/>
        <w:spacing w:line="440" w:lineRule="exact"/>
        <w:ind w:leftChars="0"/>
        <w:jc w:val="left"/>
        <w:rPr>
          <w:rFonts w:ascii="仿宋" w:eastAsia="仿宋" w:hAnsi="仿宋"/>
          <w:sz w:val="28"/>
          <w:szCs w:val="28"/>
        </w:rPr>
      </w:pPr>
      <w:r w:rsidRPr="00E00DE6">
        <w:rPr>
          <w:rFonts w:ascii="仿宋" w:eastAsia="仿宋" w:hAnsi="仿宋" w:hint="eastAsia"/>
          <w:sz w:val="28"/>
          <w:szCs w:val="28"/>
        </w:rPr>
        <w:t>九、</w:t>
      </w:r>
      <w:r w:rsidRPr="00E00DE6">
        <w:rPr>
          <w:rFonts w:ascii="仿宋" w:eastAsia="仿宋" w:hAnsi="仿宋"/>
          <w:sz w:val="28"/>
          <w:szCs w:val="28"/>
        </w:rPr>
        <w:t>国</w:t>
      </w:r>
      <w:r w:rsidRPr="00E00DE6">
        <w:rPr>
          <w:rFonts w:ascii="仿宋" w:eastAsia="仿宋" w:hAnsi="仿宋" w:hint="eastAsia"/>
          <w:sz w:val="28"/>
          <w:szCs w:val="28"/>
        </w:rPr>
        <w:t>有资本经营预算支出决算情况说明</w:t>
      </w:r>
      <w:r w:rsidR="00E00DE6" w:rsidRPr="00E00DE6">
        <w:rPr>
          <w:rFonts w:ascii="仿宋" w:eastAsia="仿宋" w:hAnsi="仿宋" w:hint="eastAsia"/>
          <w:sz w:val="28"/>
          <w:szCs w:val="28"/>
        </w:rPr>
        <w:t>………………………</w:t>
      </w:r>
      <w:r w:rsidR="007A262E">
        <w:rPr>
          <w:rFonts w:ascii="仿宋" w:eastAsia="仿宋" w:hAnsi="仿宋" w:hint="eastAsia"/>
          <w:sz w:val="28"/>
          <w:szCs w:val="28"/>
        </w:rPr>
        <w:t>13</w:t>
      </w:r>
    </w:p>
    <w:p w:rsidR="00E47E61" w:rsidRPr="00E00DE6" w:rsidRDefault="00DD0F2B" w:rsidP="00E00DE6">
      <w:pPr>
        <w:adjustRightInd w:val="0"/>
        <w:snapToGrid w:val="0"/>
        <w:spacing w:line="440" w:lineRule="exact"/>
        <w:ind w:firstLineChars="150" w:firstLine="420"/>
        <w:jc w:val="left"/>
        <w:rPr>
          <w:rFonts w:ascii="仿宋" w:eastAsia="仿宋" w:hAnsi="仿宋" w:cstheme="minorBidi"/>
          <w:sz w:val="28"/>
          <w:szCs w:val="28"/>
        </w:rPr>
      </w:pPr>
      <w:r w:rsidRPr="00E00DE6">
        <w:rPr>
          <w:rStyle w:val="a8"/>
          <w:rFonts w:ascii="仿宋" w:eastAsia="仿宋" w:hAnsi="仿宋" w:hint="eastAsia"/>
          <w:color w:val="000000" w:themeColor="text1"/>
          <w:sz w:val="28"/>
          <w:szCs w:val="28"/>
          <w:u w:val="none"/>
        </w:rPr>
        <w:t>十、</w:t>
      </w:r>
      <w:r w:rsidRPr="00E00DE6">
        <w:rPr>
          <w:rFonts w:ascii="仿宋" w:eastAsia="仿宋" w:hAnsi="仿宋" w:hint="eastAsia"/>
          <w:sz w:val="28"/>
          <w:szCs w:val="28"/>
        </w:rPr>
        <w:t>其他重要事项的情况说明</w:t>
      </w:r>
      <w:r w:rsidR="00EE1DE0">
        <w:rPr>
          <w:rFonts w:ascii="仿宋" w:eastAsia="仿宋" w:hAnsi="仿宋" w:hint="eastAsia"/>
          <w:sz w:val="28"/>
          <w:szCs w:val="28"/>
        </w:rPr>
        <w:t>…</w:t>
      </w:r>
      <w:r w:rsidR="007A262E">
        <w:rPr>
          <w:rFonts w:ascii="仿宋" w:eastAsia="仿宋" w:hAnsi="仿宋" w:hint="eastAsia"/>
          <w:sz w:val="28"/>
          <w:szCs w:val="28"/>
        </w:rPr>
        <w:t>………………………</w:t>
      </w:r>
      <w:r w:rsidR="00AE4004">
        <w:rPr>
          <w:rFonts w:ascii="仿宋" w:eastAsia="仿宋" w:hAnsi="仿宋" w:hint="eastAsia"/>
          <w:sz w:val="28"/>
          <w:szCs w:val="28"/>
        </w:rPr>
        <w:t>…</w:t>
      </w:r>
      <w:r w:rsidR="007A262E">
        <w:rPr>
          <w:rFonts w:ascii="仿宋" w:eastAsia="仿宋" w:hAnsi="仿宋" w:hint="eastAsia"/>
          <w:sz w:val="28"/>
          <w:szCs w:val="28"/>
        </w:rPr>
        <w:t>………</w:t>
      </w:r>
      <w:r w:rsidR="00AE4004">
        <w:rPr>
          <w:rFonts w:ascii="仿宋" w:eastAsia="仿宋" w:hAnsi="仿宋" w:hint="eastAsia"/>
          <w:sz w:val="28"/>
          <w:szCs w:val="28"/>
        </w:rPr>
        <w:t xml:space="preserve"> </w:t>
      </w:r>
      <w:r w:rsidR="007A262E">
        <w:rPr>
          <w:rFonts w:ascii="仿宋" w:eastAsia="仿宋" w:hAnsi="仿宋" w:hint="eastAsia"/>
          <w:sz w:val="28"/>
          <w:szCs w:val="28"/>
        </w:rPr>
        <w:t>13</w:t>
      </w:r>
    </w:p>
    <w:p w:rsidR="00E47E61" w:rsidRPr="00E00DE6" w:rsidRDefault="00DD0F2B">
      <w:pPr>
        <w:pStyle w:val="10"/>
        <w:adjustRightInd w:val="0"/>
        <w:snapToGrid w:val="0"/>
        <w:spacing w:before="0" w:line="440" w:lineRule="exact"/>
        <w:jc w:val="left"/>
        <w:rPr>
          <w:rFonts w:cstheme="minorBidi"/>
        </w:rPr>
      </w:pPr>
      <w:r w:rsidRPr="00E00DE6">
        <w:rPr>
          <w:rFonts w:hint="eastAsia"/>
        </w:rPr>
        <w:t>第三部分名词解释</w:t>
      </w:r>
      <w:r w:rsidR="007A262E">
        <w:rPr>
          <w:rFonts w:hint="eastAsia"/>
        </w:rPr>
        <w:t>……</w:t>
      </w:r>
      <w:r w:rsidR="00EE1DE0">
        <w:rPr>
          <w:rFonts w:hint="eastAsia"/>
        </w:rPr>
        <w:t>……………………………………</w:t>
      </w:r>
      <w:r w:rsidR="007A262E">
        <w:rPr>
          <w:rFonts w:hint="eastAsia"/>
        </w:rPr>
        <w:t>…………</w:t>
      </w:r>
      <w:r w:rsidR="00EE1DE0">
        <w:rPr>
          <w:rFonts w:hint="eastAsia"/>
        </w:rPr>
        <w:t xml:space="preserve"> </w:t>
      </w:r>
      <w:r w:rsidR="007A262E">
        <w:rPr>
          <w:rFonts w:hint="eastAsia"/>
        </w:rPr>
        <w:t>15</w:t>
      </w:r>
    </w:p>
    <w:p w:rsidR="00E47E61" w:rsidRPr="00E00DE6" w:rsidRDefault="00DD0F2B">
      <w:pPr>
        <w:pStyle w:val="10"/>
        <w:adjustRightInd w:val="0"/>
        <w:snapToGrid w:val="0"/>
        <w:spacing w:before="0" w:line="440" w:lineRule="exact"/>
        <w:jc w:val="left"/>
        <w:rPr>
          <w:rFonts w:cstheme="minorBidi"/>
        </w:rPr>
      </w:pPr>
      <w:r w:rsidRPr="00E00DE6">
        <w:rPr>
          <w:rFonts w:hint="eastAsia"/>
        </w:rPr>
        <w:t>第四部分附件</w:t>
      </w:r>
      <w:r w:rsidR="00740177">
        <w:rPr>
          <w:rFonts w:hint="eastAsia"/>
        </w:rPr>
        <w:t>………………………………………………………… 18</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附件</w:t>
      </w:r>
      <w:r w:rsidRPr="00E00DE6">
        <w:rPr>
          <w:rFonts w:ascii="仿宋" w:eastAsia="仿宋" w:hAnsi="仿宋"/>
          <w:sz w:val="28"/>
          <w:szCs w:val="28"/>
        </w:rPr>
        <w:t>1</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附件</w:t>
      </w:r>
      <w:r w:rsidR="00E00DE6">
        <w:rPr>
          <w:rFonts w:ascii="仿宋" w:eastAsia="仿宋" w:hAnsi="仿宋" w:hint="eastAsia"/>
          <w:sz w:val="28"/>
          <w:szCs w:val="28"/>
        </w:rPr>
        <w:t>2</w:t>
      </w:r>
    </w:p>
    <w:p w:rsidR="00E47E61" w:rsidRPr="00E00DE6" w:rsidRDefault="00DD0F2B">
      <w:pPr>
        <w:pStyle w:val="10"/>
        <w:adjustRightInd w:val="0"/>
        <w:snapToGrid w:val="0"/>
        <w:spacing w:before="0" w:line="440" w:lineRule="exact"/>
        <w:jc w:val="left"/>
        <w:rPr>
          <w:rFonts w:cstheme="minorBidi"/>
        </w:rPr>
      </w:pPr>
      <w:r w:rsidRPr="00E00DE6">
        <w:rPr>
          <w:rFonts w:hint="eastAsia"/>
        </w:rPr>
        <w:t>第五部分附表</w:t>
      </w:r>
      <w:r w:rsidR="00AE4004">
        <w:rPr>
          <w:rFonts w:hint="eastAsia"/>
        </w:rPr>
        <w:t>…………………………………………………………</w:t>
      </w:r>
      <w:r w:rsidR="00EE1DE0">
        <w:rPr>
          <w:rFonts w:hint="eastAsia"/>
        </w:rPr>
        <w:t xml:space="preserve"> </w:t>
      </w:r>
      <w:r w:rsidR="00AE4004">
        <w:rPr>
          <w:rFonts w:hint="eastAsia"/>
        </w:rPr>
        <w:t>19</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一、</w:t>
      </w:r>
      <w:r w:rsidRPr="00E00DE6">
        <w:rPr>
          <w:rFonts w:ascii="仿宋" w:eastAsia="仿宋" w:hAnsi="仿宋" w:hint="eastAsia"/>
          <w:sz w:val="28"/>
          <w:szCs w:val="28"/>
        </w:rPr>
        <w:t>收入支出决算总表</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二、</w:t>
      </w:r>
      <w:r w:rsidRPr="00E00DE6">
        <w:rPr>
          <w:rFonts w:ascii="仿宋" w:eastAsia="仿宋" w:hAnsi="仿宋" w:hint="eastAsia"/>
          <w:sz w:val="28"/>
          <w:szCs w:val="28"/>
        </w:rPr>
        <w:t>收入</w:t>
      </w:r>
      <w:r w:rsidRPr="00E00DE6">
        <w:rPr>
          <w:rFonts w:ascii="仿宋" w:eastAsia="仿宋" w:hAnsi="仿宋" w:hint="eastAsia"/>
          <w:sz w:val="28"/>
          <w:szCs w:val="28"/>
        </w:rPr>
        <w:t>决算</w:t>
      </w:r>
      <w:r w:rsidRPr="00E00DE6">
        <w:rPr>
          <w:rFonts w:ascii="仿宋" w:eastAsia="仿宋" w:hAnsi="仿宋" w:hint="eastAsia"/>
          <w:sz w:val="28"/>
          <w:szCs w:val="28"/>
        </w:rPr>
        <w:t>表</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三、</w:t>
      </w:r>
      <w:r w:rsidRPr="00E00DE6">
        <w:rPr>
          <w:rFonts w:ascii="仿宋" w:eastAsia="仿宋" w:hAnsi="仿宋" w:hint="eastAsia"/>
          <w:sz w:val="28"/>
          <w:szCs w:val="28"/>
        </w:rPr>
        <w:t>支出</w:t>
      </w:r>
      <w:r w:rsidRPr="00E00DE6">
        <w:rPr>
          <w:rFonts w:ascii="仿宋" w:eastAsia="仿宋" w:hAnsi="仿宋" w:hint="eastAsia"/>
          <w:sz w:val="28"/>
          <w:szCs w:val="28"/>
        </w:rPr>
        <w:t>决算</w:t>
      </w:r>
      <w:r w:rsidRPr="00E00DE6">
        <w:rPr>
          <w:rFonts w:ascii="仿宋" w:eastAsia="仿宋" w:hAnsi="仿宋" w:hint="eastAsia"/>
          <w:sz w:val="28"/>
          <w:szCs w:val="28"/>
        </w:rPr>
        <w:t>表</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四、</w:t>
      </w:r>
      <w:r w:rsidRPr="00E00DE6">
        <w:rPr>
          <w:rFonts w:ascii="仿宋" w:eastAsia="仿宋" w:hAnsi="仿宋" w:hint="eastAsia"/>
          <w:sz w:val="28"/>
          <w:szCs w:val="28"/>
        </w:rPr>
        <w:t>财政拨款收入支出决算总表</w:t>
      </w:r>
    </w:p>
    <w:p w:rsidR="00E47E61" w:rsidRPr="00E00DE6" w:rsidRDefault="00DD0F2B">
      <w:pPr>
        <w:pStyle w:val="20"/>
        <w:adjustRightInd w:val="0"/>
        <w:snapToGrid w:val="0"/>
        <w:spacing w:line="440" w:lineRule="exact"/>
        <w:jc w:val="left"/>
        <w:rPr>
          <w:rFonts w:ascii="仿宋" w:eastAsia="仿宋" w:hAnsi="仿宋"/>
          <w:sz w:val="28"/>
          <w:szCs w:val="28"/>
        </w:rPr>
      </w:pPr>
      <w:r w:rsidRPr="00E00DE6">
        <w:rPr>
          <w:rFonts w:ascii="仿宋" w:eastAsia="仿宋" w:hAnsi="仿宋" w:hint="eastAsia"/>
          <w:sz w:val="28"/>
          <w:szCs w:val="28"/>
        </w:rPr>
        <w:t>五、财政拨款支出决算明细表</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六、</w:t>
      </w:r>
      <w:r w:rsidRPr="00E00DE6">
        <w:rPr>
          <w:rFonts w:ascii="仿宋" w:eastAsia="仿宋" w:hAnsi="仿宋" w:hint="eastAsia"/>
          <w:sz w:val="28"/>
          <w:szCs w:val="28"/>
        </w:rPr>
        <w:t>一般公共预算财政拨款支出决算表</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lastRenderedPageBreak/>
        <w:t>七、</w:t>
      </w:r>
      <w:r w:rsidRPr="00E00DE6">
        <w:rPr>
          <w:rFonts w:ascii="仿宋" w:eastAsia="仿宋" w:hAnsi="仿宋" w:hint="eastAsia"/>
          <w:sz w:val="28"/>
          <w:szCs w:val="28"/>
        </w:rPr>
        <w:t>一般公共预算财政拨款支出决算明细表</w:t>
      </w:r>
      <w:r w:rsidR="00740177">
        <w:rPr>
          <w:rFonts w:ascii="仿宋" w:eastAsia="仿宋" w:hAnsi="仿宋" w:hint="eastAsia"/>
          <w:sz w:val="28"/>
          <w:szCs w:val="28"/>
        </w:rPr>
        <w:t xml:space="preserve"> </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八、</w:t>
      </w:r>
      <w:r w:rsidRPr="00E00DE6">
        <w:rPr>
          <w:rFonts w:ascii="仿宋" w:eastAsia="仿宋" w:hAnsi="仿宋" w:hint="eastAsia"/>
          <w:sz w:val="28"/>
          <w:szCs w:val="28"/>
        </w:rPr>
        <w:t>一般公共预算财政拨款基本支出决算表</w:t>
      </w:r>
      <w:r w:rsidR="00740177">
        <w:rPr>
          <w:rFonts w:ascii="仿宋" w:eastAsia="仿宋" w:hAnsi="仿宋" w:hint="eastAsia"/>
          <w:sz w:val="28"/>
          <w:szCs w:val="28"/>
        </w:rPr>
        <w:t xml:space="preserve"> </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九、</w:t>
      </w:r>
      <w:r w:rsidRPr="00E00DE6">
        <w:rPr>
          <w:rFonts w:ascii="仿宋" w:eastAsia="仿宋" w:hAnsi="仿宋" w:hint="eastAsia"/>
          <w:sz w:val="28"/>
          <w:szCs w:val="28"/>
        </w:rPr>
        <w:t>一般公共预算财政拨款项目支出决算表</w:t>
      </w:r>
      <w:r w:rsidR="00740177">
        <w:rPr>
          <w:rFonts w:ascii="仿宋" w:eastAsia="仿宋" w:hAnsi="仿宋" w:hint="eastAsia"/>
          <w:sz w:val="28"/>
          <w:szCs w:val="28"/>
        </w:rPr>
        <w:t xml:space="preserve"> </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十、</w:t>
      </w:r>
      <w:r w:rsidRPr="00E00DE6">
        <w:rPr>
          <w:rFonts w:ascii="仿宋" w:eastAsia="仿宋" w:hAnsi="仿宋" w:hint="eastAsia"/>
          <w:sz w:val="28"/>
          <w:szCs w:val="28"/>
        </w:rPr>
        <w:t>一般公共预算财政拨款“三公”经费支出决算表</w:t>
      </w:r>
      <w:r w:rsidR="00740177">
        <w:rPr>
          <w:rFonts w:ascii="仿宋" w:eastAsia="仿宋" w:hAnsi="仿宋" w:hint="eastAsia"/>
          <w:sz w:val="28"/>
          <w:szCs w:val="28"/>
        </w:rPr>
        <w:t xml:space="preserve"> </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十一、</w:t>
      </w:r>
      <w:r w:rsidRPr="00E00DE6">
        <w:rPr>
          <w:rFonts w:ascii="仿宋" w:eastAsia="仿宋" w:hAnsi="仿宋" w:hint="eastAsia"/>
          <w:sz w:val="28"/>
          <w:szCs w:val="28"/>
        </w:rPr>
        <w:t>政府性基金预算财政拨款收入支出决算表</w:t>
      </w:r>
      <w:r w:rsidR="00740177">
        <w:rPr>
          <w:rFonts w:ascii="仿宋" w:eastAsia="仿宋" w:hAnsi="仿宋" w:hint="eastAsia"/>
          <w:sz w:val="28"/>
          <w:szCs w:val="28"/>
        </w:rPr>
        <w:t xml:space="preserve"> </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十二、</w:t>
      </w:r>
      <w:r w:rsidRPr="00E00DE6">
        <w:rPr>
          <w:rFonts w:ascii="仿宋" w:eastAsia="仿宋" w:hAnsi="仿宋" w:hint="eastAsia"/>
          <w:sz w:val="28"/>
          <w:szCs w:val="28"/>
        </w:rPr>
        <w:t>政府性基金预算财政拨款“三公”经费支出决算表</w:t>
      </w:r>
      <w:r w:rsidR="00740177">
        <w:rPr>
          <w:rFonts w:ascii="仿宋" w:eastAsia="仿宋" w:hAnsi="仿宋" w:hint="eastAsia"/>
          <w:sz w:val="28"/>
          <w:szCs w:val="28"/>
        </w:rPr>
        <w:t xml:space="preserve"> </w:t>
      </w:r>
    </w:p>
    <w:p w:rsidR="00E47E61" w:rsidRPr="00E00DE6" w:rsidRDefault="00DD0F2B">
      <w:pPr>
        <w:pStyle w:val="20"/>
        <w:adjustRightInd w:val="0"/>
        <w:snapToGrid w:val="0"/>
        <w:spacing w:line="440" w:lineRule="exact"/>
        <w:jc w:val="left"/>
        <w:rPr>
          <w:rFonts w:ascii="仿宋" w:eastAsia="仿宋" w:hAnsi="仿宋" w:cstheme="minorBidi"/>
          <w:sz w:val="28"/>
          <w:szCs w:val="28"/>
        </w:rPr>
      </w:pPr>
      <w:r w:rsidRPr="00E00DE6">
        <w:rPr>
          <w:rFonts w:ascii="仿宋" w:eastAsia="仿宋" w:hAnsi="仿宋" w:hint="eastAsia"/>
          <w:sz w:val="28"/>
          <w:szCs w:val="28"/>
        </w:rPr>
        <w:t>十三、</w:t>
      </w:r>
      <w:r w:rsidRPr="00E00DE6">
        <w:rPr>
          <w:rFonts w:ascii="仿宋" w:eastAsia="仿宋" w:hAnsi="仿宋" w:hint="eastAsia"/>
          <w:sz w:val="28"/>
          <w:szCs w:val="28"/>
        </w:rPr>
        <w:t>国有资本经营预算支出决算表</w:t>
      </w:r>
      <w:r w:rsidR="00740177">
        <w:rPr>
          <w:rFonts w:ascii="仿宋" w:eastAsia="仿宋" w:hAnsi="仿宋" w:hint="eastAsia"/>
          <w:sz w:val="28"/>
          <w:szCs w:val="28"/>
        </w:rPr>
        <w:t xml:space="preserve"> </w:t>
      </w:r>
    </w:p>
    <w:p w:rsidR="00E47E61" w:rsidRDefault="00DD0F2B">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E47E61" w:rsidRDefault="00DD0F2B">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2"/>
      <w:bookmarkEnd w:id="13"/>
    </w:p>
    <w:p w:rsidR="00E47E61" w:rsidRDefault="00DD0F2B">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E47E61" w:rsidRDefault="00DD0F2B">
      <w:pPr>
        <w:pStyle w:val="a3"/>
        <w:adjustRightInd w:val="0"/>
        <w:snapToGrid w:val="0"/>
        <w:spacing w:before="93" w:line="600" w:lineRule="exact"/>
        <w:ind w:firstLineChars="210" w:firstLine="672"/>
        <w:outlineLvl w:val="2"/>
        <w:rPr>
          <w:rFonts w:ascii="楷体" w:eastAsia="楷体" w:hAnsi="楷体"/>
          <w:bCs/>
          <w:color w:val="000000"/>
          <w:sz w:val="32"/>
          <w:szCs w:val="32"/>
        </w:rPr>
      </w:pPr>
      <w:bookmarkStart w:id="16" w:name="_Toc15378445"/>
      <w:bookmarkStart w:id="17" w:name="_Toc15377198"/>
      <w:r>
        <w:rPr>
          <w:rFonts w:ascii="楷体" w:eastAsia="楷体" w:hAnsi="楷体" w:hint="eastAsia"/>
          <w:bCs/>
          <w:color w:val="000000"/>
          <w:sz w:val="32"/>
          <w:szCs w:val="32"/>
        </w:rPr>
        <w:t>（一）主要职能</w:t>
      </w:r>
      <w:bookmarkEnd w:id="16"/>
      <w:bookmarkEnd w:id="17"/>
    </w:p>
    <w:p w:rsidR="00E47E61" w:rsidRDefault="00DD0F2B">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中共营山县纪律检查委员会，在中共营山县委和中共南充市纪委领导下，按照《党章》的规定开展工作；营山县监察委员会依照《监察法》和有关法律规定履行监督、调查、处置职责。县纪委与县监委合署办公，实行一套工作机构、两个机关名称的体制，履行党的纪律检查和国家监察两种职能。</w:t>
      </w:r>
    </w:p>
    <w:p w:rsidR="00E47E61" w:rsidRDefault="00DD0F2B">
      <w:pPr>
        <w:pStyle w:val="a3"/>
        <w:adjustRightInd w:val="0"/>
        <w:snapToGrid w:val="0"/>
        <w:spacing w:before="93" w:line="600" w:lineRule="exact"/>
        <w:ind w:firstLineChars="210" w:firstLine="672"/>
        <w:outlineLvl w:val="2"/>
        <w:rPr>
          <w:rFonts w:ascii="楷体" w:eastAsia="楷体" w:hAnsi="楷体"/>
          <w:bCs/>
          <w:color w:val="000000"/>
          <w:sz w:val="32"/>
          <w:szCs w:val="32"/>
        </w:rPr>
      </w:pPr>
      <w:bookmarkStart w:id="18" w:name="_Toc15378446"/>
      <w:bookmarkStart w:id="19" w:name="_Toc15377199"/>
      <w:r>
        <w:rPr>
          <w:rFonts w:ascii="楷体" w:eastAsia="楷体" w:hAnsi="楷体" w:hint="eastAsia"/>
          <w:bCs/>
          <w:color w:val="000000"/>
          <w:sz w:val="32"/>
          <w:szCs w:val="32"/>
        </w:rPr>
        <w:t>（二）</w:t>
      </w:r>
      <w:r>
        <w:rPr>
          <w:rFonts w:ascii="楷体" w:eastAsia="楷体" w:hAnsi="楷体"/>
          <w:bCs/>
          <w:color w:val="000000"/>
          <w:sz w:val="32"/>
          <w:szCs w:val="32"/>
        </w:rPr>
        <w:t>201</w:t>
      </w:r>
      <w:r>
        <w:rPr>
          <w:rFonts w:ascii="楷体" w:eastAsia="楷体" w:hAnsi="楷体" w:hint="eastAsia"/>
          <w:bCs/>
          <w:color w:val="000000"/>
          <w:sz w:val="32"/>
          <w:szCs w:val="32"/>
        </w:rPr>
        <w:t>9</w:t>
      </w:r>
      <w:r>
        <w:rPr>
          <w:rFonts w:ascii="楷体" w:eastAsia="楷体" w:hAnsi="楷体" w:hint="eastAsia"/>
          <w:bCs/>
          <w:color w:val="000000"/>
          <w:sz w:val="32"/>
          <w:szCs w:val="32"/>
        </w:rPr>
        <w:t>年重点工作完成情况</w:t>
      </w:r>
      <w:bookmarkEnd w:id="18"/>
      <w:bookmarkEnd w:id="19"/>
    </w:p>
    <w:p w:rsidR="00E47E61" w:rsidRDefault="00DD0F2B">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bCs/>
          <w:color w:val="000000"/>
          <w:sz w:val="32"/>
          <w:szCs w:val="32"/>
        </w:rPr>
        <w:t>2019</w:t>
      </w:r>
      <w:r>
        <w:rPr>
          <w:rFonts w:ascii="仿宋" w:eastAsia="仿宋" w:hAnsi="仿宋"/>
          <w:bCs/>
          <w:color w:val="000000"/>
          <w:sz w:val="32"/>
          <w:szCs w:val="32"/>
        </w:rPr>
        <w:t>年，县纪委监委在市纪委监委和县委的坚强领导下，忠实履行党章和宪法赋予的职责，深入开展护林、清源、利剑</w:t>
      </w:r>
      <w:r>
        <w:rPr>
          <w:rFonts w:ascii="仿宋" w:eastAsia="仿宋" w:hAnsi="仿宋"/>
          <w:bCs/>
          <w:color w:val="000000"/>
          <w:sz w:val="32"/>
          <w:szCs w:val="32"/>
        </w:rPr>
        <w:t>“</w:t>
      </w:r>
      <w:r>
        <w:rPr>
          <w:rFonts w:ascii="仿宋" w:eastAsia="仿宋" w:hAnsi="仿宋"/>
          <w:bCs/>
          <w:color w:val="000000"/>
          <w:sz w:val="32"/>
          <w:szCs w:val="32"/>
        </w:rPr>
        <w:t>三大行动</w:t>
      </w:r>
      <w:r>
        <w:rPr>
          <w:rFonts w:ascii="仿宋" w:eastAsia="仿宋" w:hAnsi="仿宋"/>
          <w:bCs/>
          <w:color w:val="000000"/>
          <w:sz w:val="32"/>
          <w:szCs w:val="32"/>
        </w:rPr>
        <w:t>”</w:t>
      </w:r>
      <w:r>
        <w:rPr>
          <w:rFonts w:ascii="仿宋" w:eastAsia="仿宋" w:hAnsi="仿宋"/>
          <w:bCs/>
          <w:color w:val="000000"/>
          <w:sz w:val="32"/>
          <w:szCs w:val="32"/>
        </w:rPr>
        <w:t>，扎实开展</w:t>
      </w:r>
      <w:r>
        <w:rPr>
          <w:rFonts w:ascii="仿宋" w:eastAsia="仿宋" w:hAnsi="仿宋"/>
          <w:bCs/>
          <w:color w:val="000000"/>
          <w:sz w:val="32"/>
          <w:szCs w:val="32"/>
        </w:rPr>
        <w:t>“</w:t>
      </w:r>
      <w:r>
        <w:rPr>
          <w:rFonts w:ascii="仿宋" w:eastAsia="仿宋" w:hAnsi="仿宋"/>
          <w:bCs/>
          <w:color w:val="000000"/>
          <w:sz w:val="32"/>
          <w:szCs w:val="32"/>
        </w:rPr>
        <w:t>不忘初心、牢记使命</w:t>
      </w:r>
      <w:r>
        <w:rPr>
          <w:rFonts w:ascii="仿宋" w:eastAsia="仿宋" w:hAnsi="仿宋"/>
          <w:bCs/>
          <w:color w:val="000000"/>
          <w:sz w:val="32"/>
          <w:szCs w:val="32"/>
        </w:rPr>
        <w:t>”</w:t>
      </w:r>
      <w:r>
        <w:rPr>
          <w:rFonts w:ascii="仿宋" w:eastAsia="仿宋" w:hAnsi="仿宋"/>
          <w:bCs/>
          <w:color w:val="000000"/>
          <w:sz w:val="32"/>
          <w:szCs w:val="32"/>
        </w:rPr>
        <w:t>主题教育，优化升级</w:t>
      </w:r>
      <w:r>
        <w:rPr>
          <w:rFonts w:ascii="仿宋" w:eastAsia="仿宋" w:hAnsi="仿宋"/>
          <w:bCs/>
          <w:color w:val="000000"/>
          <w:sz w:val="32"/>
          <w:szCs w:val="32"/>
        </w:rPr>
        <w:t>“</w:t>
      </w:r>
      <w:r>
        <w:rPr>
          <w:rFonts w:ascii="仿宋" w:eastAsia="仿宋" w:hAnsi="仿宋"/>
          <w:bCs/>
          <w:color w:val="000000"/>
          <w:sz w:val="32"/>
          <w:szCs w:val="32"/>
        </w:rPr>
        <w:t>双五工作法</w:t>
      </w:r>
      <w:r>
        <w:rPr>
          <w:rFonts w:ascii="仿宋" w:eastAsia="仿宋" w:hAnsi="仿宋"/>
          <w:bCs/>
          <w:color w:val="000000"/>
          <w:sz w:val="32"/>
          <w:szCs w:val="32"/>
        </w:rPr>
        <w:t>”</w:t>
      </w:r>
      <w:r>
        <w:rPr>
          <w:rFonts w:ascii="仿宋" w:eastAsia="仿宋" w:hAnsi="仿宋"/>
          <w:bCs/>
          <w:color w:val="000000"/>
          <w:sz w:val="32"/>
          <w:szCs w:val="32"/>
        </w:rPr>
        <w:t>压实</w:t>
      </w:r>
      <w:r>
        <w:rPr>
          <w:rFonts w:ascii="仿宋" w:eastAsia="仿宋" w:hAnsi="仿宋"/>
          <w:bCs/>
          <w:color w:val="000000"/>
          <w:sz w:val="32"/>
          <w:szCs w:val="32"/>
        </w:rPr>
        <w:t>“</w:t>
      </w:r>
      <w:r>
        <w:rPr>
          <w:rFonts w:ascii="仿宋" w:eastAsia="仿宋" w:hAnsi="仿宋"/>
          <w:bCs/>
          <w:color w:val="000000"/>
          <w:sz w:val="32"/>
          <w:szCs w:val="32"/>
        </w:rPr>
        <w:t>两个责任</w:t>
      </w:r>
      <w:r>
        <w:rPr>
          <w:rFonts w:ascii="仿宋" w:eastAsia="仿宋" w:hAnsi="仿宋"/>
          <w:bCs/>
          <w:color w:val="000000"/>
          <w:sz w:val="32"/>
          <w:szCs w:val="32"/>
        </w:rPr>
        <w:t>”</w:t>
      </w:r>
      <w:r>
        <w:rPr>
          <w:rFonts w:ascii="仿宋" w:eastAsia="仿宋" w:hAnsi="仿宋"/>
          <w:bCs/>
          <w:color w:val="000000"/>
          <w:sz w:val="32"/>
          <w:szCs w:val="32"/>
        </w:rPr>
        <w:t>，集中力量解决形式主义官僚主义、营商环境、脱贫攻坚领域纪律和作风问题突出问题</w:t>
      </w:r>
      <w:r>
        <w:rPr>
          <w:rFonts w:ascii="仿宋" w:eastAsia="仿宋" w:hAnsi="仿宋"/>
          <w:bCs/>
          <w:color w:val="000000"/>
          <w:sz w:val="32"/>
          <w:szCs w:val="32"/>
        </w:rPr>
        <w:t>3</w:t>
      </w:r>
      <w:r>
        <w:rPr>
          <w:rFonts w:ascii="仿宋" w:eastAsia="仿宋" w:hAnsi="仿宋"/>
          <w:bCs/>
          <w:color w:val="000000"/>
          <w:sz w:val="32"/>
          <w:szCs w:val="32"/>
        </w:rPr>
        <w:t>个；摘帽验收后，持续开展扶贫政策落实、干部作风、群众认可度暗访督导，深入开展</w:t>
      </w:r>
      <w:r>
        <w:rPr>
          <w:rFonts w:ascii="仿宋" w:eastAsia="仿宋" w:hAnsi="仿宋"/>
          <w:bCs/>
          <w:color w:val="000000"/>
          <w:sz w:val="32"/>
          <w:szCs w:val="32"/>
        </w:rPr>
        <w:t>“</w:t>
      </w:r>
      <w:r>
        <w:rPr>
          <w:rFonts w:ascii="仿宋" w:eastAsia="仿宋" w:hAnsi="仿宋"/>
          <w:bCs/>
          <w:color w:val="000000"/>
          <w:sz w:val="32"/>
          <w:szCs w:val="32"/>
        </w:rPr>
        <w:t>两不愁三保障</w:t>
      </w:r>
      <w:r>
        <w:rPr>
          <w:rFonts w:ascii="仿宋" w:eastAsia="仿宋" w:hAnsi="仿宋"/>
          <w:bCs/>
          <w:color w:val="000000"/>
          <w:sz w:val="32"/>
          <w:szCs w:val="32"/>
        </w:rPr>
        <w:t>”</w:t>
      </w:r>
      <w:r>
        <w:rPr>
          <w:rFonts w:ascii="仿宋" w:eastAsia="仿宋" w:hAnsi="仿宋"/>
          <w:bCs/>
          <w:color w:val="000000"/>
          <w:sz w:val="32"/>
          <w:szCs w:val="32"/>
        </w:rPr>
        <w:t>回头看大排查，发现并督促整改各类问题</w:t>
      </w:r>
      <w:r>
        <w:rPr>
          <w:rFonts w:ascii="仿宋" w:eastAsia="仿宋" w:hAnsi="仿宋"/>
          <w:bCs/>
          <w:color w:val="000000"/>
          <w:sz w:val="32"/>
          <w:szCs w:val="32"/>
        </w:rPr>
        <w:t>833</w:t>
      </w:r>
      <w:r>
        <w:rPr>
          <w:rFonts w:ascii="仿宋" w:eastAsia="仿宋" w:hAnsi="仿宋"/>
          <w:bCs/>
          <w:color w:val="000000"/>
          <w:sz w:val="32"/>
          <w:szCs w:val="32"/>
        </w:rPr>
        <w:t>个，问责处理失职失责干部</w:t>
      </w:r>
      <w:r>
        <w:rPr>
          <w:rFonts w:ascii="仿宋" w:eastAsia="仿宋" w:hAnsi="仿宋"/>
          <w:bCs/>
          <w:color w:val="000000"/>
          <w:sz w:val="32"/>
          <w:szCs w:val="32"/>
        </w:rPr>
        <w:t>10</w:t>
      </w:r>
      <w:r>
        <w:rPr>
          <w:rFonts w:ascii="仿宋" w:eastAsia="仿宋" w:hAnsi="仿宋"/>
          <w:bCs/>
          <w:color w:val="000000"/>
          <w:sz w:val="32"/>
          <w:szCs w:val="32"/>
        </w:rPr>
        <w:t>名；明规立矩护航乡镇区划调整，集中谈心谈话</w:t>
      </w:r>
      <w:r>
        <w:rPr>
          <w:rFonts w:ascii="仿宋" w:eastAsia="仿宋" w:hAnsi="仿宋"/>
          <w:bCs/>
          <w:color w:val="000000"/>
          <w:sz w:val="32"/>
          <w:szCs w:val="32"/>
        </w:rPr>
        <w:t>160</w:t>
      </w:r>
      <w:r>
        <w:rPr>
          <w:rFonts w:ascii="仿宋" w:eastAsia="仿宋" w:hAnsi="仿宋"/>
          <w:bCs/>
          <w:color w:val="000000"/>
          <w:sz w:val="32"/>
          <w:szCs w:val="32"/>
        </w:rPr>
        <w:t>余人次，个别提醒谈话</w:t>
      </w:r>
      <w:r>
        <w:rPr>
          <w:rFonts w:ascii="仿宋" w:eastAsia="仿宋" w:hAnsi="仿宋"/>
          <w:bCs/>
          <w:color w:val="000000"/>
          <w:sz w:val="32"/>
          <w:szCs w:val="32"/>
        </w:rPr>
        <w:t>30</w:t>
      </w:r>
      <w:r>
        <w:rPr>
          <w:rFonts w:ascii="仿宋" w:eastAsia="仿宋" w:hAnsi="仿宋"/>
          <w:bCs/>
          <w:color w:val="000000"/>
          <w:sz w:val="32"/>
          <w:szCs w:val="32"/>
        </w:rPr>
        <w:t>余人次；持续强化贯彻落实中央八项规定精神的专项检查，发现并督促整改问题</w:t>
      </w:r>
      <w:r>
        <w:rPr>
          <w:rFonts w:ascii="仿宋" w:eastAsia="仿宋" w:hAnsi="仿宋"/>
          <w:bCs/>
          <w:color w:val="000000"/>
          <w:sz w:val="32"/>
          <w:szCs w:val="32"/>
        </w:rPr>
        <w:t>126</w:t>
      </w:r>
      <w:r>
        <w:rPr>
          <w:rFonts w:ascii="仿宋" w:eastAsia="仿宋" w:hAnsi="仿宋"/>
          <w:bCs/>
          <w:color w:val="000000"/>
          <w:sz w:val="32"/>
          <w:szCs w:val="32"/>
        </w:rPr>
        <w:t>个，问责</w:t>
      </w:r>
      <w:r>
        <w:rPr>
          <w:rFonts w:ascii="仿宋" w:eastAsia="仿宋" w:hAnsi="仿宋"/>
          <w:bCs/>
          <w:color w:val="000000"/>
          <w:sz w:val="32"/>
          <w:szCs w:val="32"/>
        </w:rPr>
        <w:t>86</w:t>
      </w:r>
      <w:r>
        <w:rPr>
          <w:rFonts w:ascii="宋体" w:eastAsia="宋体" w:hAnsi="宋体" w:cs="宋体" w:hint="eastAsia"/>
          <w:bCs/>
          <w:color w:val="000000"/>
          <w:sz w:val="32"/>
          <w:szCs w:val="32"/>
        </w:rPr>
        <w:t> </w:t>
      </w:r>
      <w:r>
        <w:rPr>
          <w:rFonts w:ascii="仿宋" w:eastAsia="仿宋" w:hAnsi="仿宋"/>
          <w:bCs/>
          <w:color w:val="000000"/>
          <w:sz w:val="32"/>
          <w:szCs w:val="32"/>
        </w:rPr>
        <w:t>人；聚焦群众身边的不正之风和腐败问题，持续加大查处力度，全面从严治党、党风廉政建设和反腐败工作坚实有力、步步深入，多项工作居全市一方阵，推动问责工作做法被省纪委刊发推广。脱贫攻坚</w:t>
      </w:r>
      <w:r>
        <w:rPr>
          <w:rFonts w:ascii="仿宋" w:eastAsia="仿宋" w:hAnsi="仿宋"/>
          <w:bCs/>
          <w:color w:val="000000"/>
          <w:sz w:val="32"/>
          <w:szCs w:val="32"/>
        </w:rPr>
        <w:t>“</w:t>
      </w:r>
      <w:r>
        <w:rPr>
          <w:rFonts w:ascii="仿宋" w:eastAsia="仿宋" w:hAnsi="仿宋"/>
          <w:bCs/>
          <w:color w:val="000000"/>
          <w:sz w:val="32"/>
          <w:szCs w:val="32"/>
        </w:rPr>
        <w:t>尖刀督战</w:t>
      </w:r>
      <w:r>
        <w:rPr>
          <w:rFonts w:ascii="仿宋" w:eastAsia="仿宋" w:hAnsi="仿宋"/>
          <w:bCs/>
          <w:color w:val="000000"/>
          <w:sz w:val="32"/>
          <w:szCs w:val="32"/>
        </w:rPr>
        <w:t>”</w:t>
      </w:r>
      <w:r>
        <w:rPr>
          <w:rFonts w:ascii="仿宋" w:eastAsia="仿宋" w:hAnsi="仿宋"/>
          <w:bCs/>
          <w:color w:val="000000"/>
          <w:sz w:val="32"/>
          <w:szCs w:val="32"/>
        </w:rPr>
        <w:t>、监督保障</w:t>
      </w:r>
      <w:r>
        <w:rPr>
          <w:rFonts w:ascii="仿宋" w:eastAsia="仿宋" w:hAnsi="仿宋"/>
          <w:bCs/>
          <w:color w:val="000000"/>
          <w:sz w:val="32"/>
          <w:szCs w:val="32"/>
        </w:rPr>
        <w:t>“</w:t>
      </w:r>
      <w:r>
        <w:rPr>
          <w:rFonts w:ascii="仿宋" w:eastAsia="仿宋" w:hAnsi="仿宋"/>
          <w:bCs/>
          <w:color w:val="000000"/>
          <w:sz w:val="32"/>
          <w:szCs w:val="32"/>
        </w:rPr>
        <w:t>一卡通</w:t>
      </w:r>
      <w:r>
        <w:rPr>
          <w:rFonts w:ascii="仿宋" w:eastAsia="仿宋" w:hAnsi="仿宋"/>
          <w:bCs/>
          <w:color w:val="000000"/>
          <w:sz w:val="32"/>
          <w:szCs w:val="32"/>
        </w:rPr>
        <w:t>”</w:t>
      </w:r>
      <w:r>
        <w:rPr>
          <w:rFonts w:ascii="仿宋" w:eastAsia="仿宋" w:hAnsi="仿宋"/>
          <w:bCs/>
          <w:color w:val="000000"/>
          <w:sz w:val="32"/>
          <w:szCs w:val="32"/>
        </w:rPr>
        <w:t>治理、加强二级单位和县属国企监督等工作得到市委、市纪委监委和县委县政府主要领导肯定批示</w:t>
      </w:r>
      <w:r>
        <w:rPr>
          <w:rFonts w:ascii="仿宋" w:eastAsia="仿宋" w:hAnsi="仿宋"/>
          <w:bCs/>
          <w:color w:val="000000"/>
          <w:sz w:val="32"/>
          <w:szCs w:val="32"/>
        </w:rPr>
        <w:t>10</w:t>
      </w:r>
      <w:r>
        <w:rPr>
          <w:rFonts w:ascii="仿宋" w:eastAsia="仿宋" w:hAnsi="仿宋"/>
          <w:bCs/>
          <w:color w:val="000000"/>
          <w:sz w:val="32"/>
          <w:szCs w:val="32"/>
        </w:rPr>
        <w:t>余次。漠视群众利益问题专项整治、联动协作监督机制、基层信访举报办理</w:t>
      </w:r>
      <w:r>
        <w:rPr>
          <w:rFonts w:ascii="仿宋" w:eastAsia="仿宋" w:hAnsi="仿宋"/>
          <w:bCs/>
          <w:color w:val="000000"/>
          <w:sz w:val="32"/>
          <w:szCs w:val="32"/>
        </w:rPr>
        <w:t>“</w:t>
      </w:r>
      <w:r>
        <w:rPr>
          <w:rFonts w:ascii="仿宋" w:eastAsia="仿宋" w:hAnsi="仿宋"/>
          <w:bCs/>
          <w:color w:val="000000"/>
          <w:sz w:val="32"/>
          <w:szCs w:val="32"/>
        </w:rPr>
        <w:t>两化</w:t>
      </w:r>
      <w:r>
        <w:rPr>
          <w:rFonts w:ascii="仿宋" w:eastAsia="仿宋" w:hAnsi="仿宋"/>
          <w:bCs/>
          <w:color w:val="000000"/>
          <w:sz w:val="32"/>
          <w:szCs w:val="32"/>
        </w:rPr>
        <w:t>”</w:t>
      </w:r>
      <w:r>
        <w:rPr>
          <w:rFonts w:ascii="仿宋" w:eastAsia="仿宋" w:hAnsi="仿宋"/>
          <w:bCs/>
          <w:color w:val="000000"/>
          <w:sz w:val="32"/>
          <w:szCs w:val="32"/>
        </w:rPr>
        <w:t>建设等做法被《人民日报》《中国纪检监察报》《四川</w:t>
      </w:r>
      <w:r>
        <w:rPr>
          <w:rFonts w:ascii="仿宋" w:eastAsia="仿宋" w:hAnsi="仿宋"/>
          <w:bCs/>
          <w:color w:val="000000"/>
          <w:sz w:val="32"/>
          <w:szCs w:val="32"/>
        </w:rPr>
        <w:t>日报》《廉政瞭望》等中省媒体刊载。</w:t>
      </w:r>
    </w:p>
    <w:p w:rsidR="00E47E61" w:rsidRDefault="00DD0F2B">
      <w:pPr>
        <w:pStyle w:val="2"/>
        <w:rPr>
          <w:rStyle w:val="2Char"/>
        </w:rPr>
      </w:pPr>
      <w:bookmarkStart w:id="20" w:name="_Toc15377200"/>
      <w:bookmarkStart w:id="21"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E47E61" w:rsidRDefault="00DD0F2B">
      <w:pPr>
        <w:ind w:firstLineChars="250" w:firstLine="800"/>
        <w:rPr>
          <w:rFonts w:ascii="仿宋" w:eastAsia="仿宋" w:hAnsi="仿宋"/>
          <w:sz w:val="32"/>
          <w:szCs w:val="32"/>
        </w:rPr>
      </w:pPr>
      <w:r>
        <w:rPr>
          <w:rFonts w:ascii="仿宋" w:eastAsia="仿宋" w:hAnsi="仿宋" w:hint="eastAsia"/>
          <w:color w:val="000000"/>
          <w:sz w:val="32"/>
          <w:szCs w:val="32"/>
        </w:rPr>
        <w:t>按照决算管理有关规定，部门决算编报内容包括本级和所属预算单位的全部收支情况。</w:t>
      </w:r>
      <w:r>
        <w:rPr>
          <w:rFonts w:ascii="仿宋" w:eastAsia="仿宋" w:hAnsi="仿宋" w:hint="eastAsia"/>
          <w:sz w:val="32"/>
          <w:szCs w:val="32"/>
        </w:rPr>
        <w:t>县纪委监委下属二级</w:t>
      </w:r>
      <w:r>
        <w:rPr>
          <w:rFonts w:ascii="仿宋" w:eastAsia="仿宋" w:hAnsi="仿宋" w:hint="eastAsia"/>
          <w:color w:val="000000"/>
          <w:sz w:val="32"/>
          <w:szCs w:val="32"/>
        </w:rPr>
        <w:t>事业单位</w:t>
      </w:r>
      <w:r>
        <w:rPr>
          <w:rFonts w:ascii="仿宋" w:eastAsia="仿宋" w:hAnsi="仿宋" w:hint="eastAsia"/>
          <w:color w:val="000000"/>
          <w:sz w:val="32"/>
          <w:szCs w:val="32"/>
        </w:rPr>
        <w:t>1</w:t>
      </w:r>
      <w:r>
        <w:rPr>
          <w:rFonts w:ascii="仿宋" w:eastAsia="仿宋" w:hAnsi="仿宋" w:hint="eastAsia"/>
          <w:color w:val="000000"/>
          <w:sz w:val="32"/>
          <w:szCs w:val="32"/>
        </w:rPr>
        <w:t>个（营山县纪检监察教育中心）。</w:t>
      </w:r>
    </w:p>
    <w:p w:rsidR="00E47E61" w:rsidRDefault="00DD0F2B">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E47E61" w:rsidRDefault="00DD0F2B">
      <w:pPr>
        <w:pStyle w:val="1"/>
        <w:ind w:right="440"/>
        <w:jc w:val="right"/>
        <w:rPr>
          <w:rFonts w:ascii="黑体" w:eastAsia="黑体" w:hAnsi="黑体"/>
          <w:b w:val="0"/>
          <w:bCs w:val="0"/>
        </w:rPr>
      </w:pPr>
      <w:bookmarkStart w:id="22" w:name="_Toc15396602"/>
      <w:bookmarkStart w:id="23" w:name="_Toc15377204"/>
      <w:r>
        <w:rPr>
          <w:rFonts w:ascii="黑体" w:eastAsia="黑体" w:hAnsi="黑体" w:hint="eastAsia"/>
          <w:b w:val="0"/>
          <w:color w:val="000000"/>
        </w:rPr>
        <w:t>第二部分</w:t>
      </w:r>
      <w:r>
        <w:rPr>
          <w:rStyle w:val="1Char"/>
          <w:rFonts w:ascii="黑体" w:eastAsia="黑体" w:hAnsi="黑体" w:hint="eastAsia"/>
        </w:rPr>
        <w:t>2019</w:t>
      </w:r>
      <w:r>
        <w:rPr>
          <w:rStyle w:val="1Char"/>
          <w:rFonts w:ascii="黑体" w:eastAsia="黑体" w:hAnsi="黑体" w:hint="eastAsia"/>
        </w:rPr>
        <w:t>年度部门决算情况说明</w:t>
      </w:r>
      <w:bookmarkEnd w:id="22"/>
      <w:bookmarkEnd w:id="23"/>
    </w:p>
    <w:p w:rsidR="00E47E61" w:rsidRDefault="00DD0F2B">
      <w:pPr>
        <w:pStyle w:val="11"/>
        <w:numPr>
          <w:ilvl w:val="0"/>
          <w:numId w:val="1"/>
        </w:numPr>
        <w:spacing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E47E61" w:rsidRDefault="00DD0F2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年度收、支总计</w:t>
      </w:r>
      <w:r>
        <w:rPr>
          <w:rFonts w:ascii="仿宋" w:eastAsia="仿宋" w:hAnsi="仿宋" w:hint="eastAsia"/>
          <w:color w:val="000000"/>
          <w:sz w:val="32"/>
          <w:szCs w:val="32"/>
        </w:rPr>
        <w:t>2324.99</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年相比，收、支总计各增加</w:t>
      </w:r>
      <w:r>
        <w:rPr>
          <w:rFonts w:ascii="仿宋" w:eastAsia="仿宋" w:hAnsi="仿宋" w:hint="eastAsia"/>
          <w:color w:val="000000"/>
          <w:sz w:val="32"/>
          <w:szCs w:val="32"/>
        </w:rPr>
        <w:t>881.02</w:t>
      </w:r>
      <w:r>
        <w:rPr>
          <w:rFonts w:ascii="仿宋" w:eastAsia="仿宋" w:hAnsi="仿宋" w:hint="eastAsia"/>
          <w:color w:val="000000"/>
          <w:sz w:val="32"/>
          <w:szCs w:val="32"/>
        </w:rPr>
        <w:t>万元，增长</w:t>
      </w:r>
      <w:r>
        <w:rPr>
          <w:rFonts w:ascii="仿宋" w:eastAsia="仿宋" w:hAnsi="仿宋" w:hint="eastAsia"/>
          <w:color w:val="000000"/>
          <w:sz w:val="32"/>
          <w:szCs w:val="32"/>
        </w:rPr>
        <w:t>61.01</w:t>
      </w:r>
      <w:r>
        <w:rPr>
          <w:rFonts w:ascii="仿宋" w:eastAsia="仿宋" w:hAnsi="仿宋"/>
          <w:color w:val="000000"/>
          <w:sz w:val="32"/>
          <w:szCs w:val="32"/>
        </w:rPr>
        <w:t>%</w:t>
      </w:r>
      <w:r>
        <w:rPr>
          <w:rFonts w:ascii="仿宋" w:eastAsia="仿宋" w:hAnsi="仿宋" w:hint="eastAsia"/>
          <w:color w:val="000000"/>
          <w:sz w:val="32"/>
          <w:szCs w:val="32"/>
        </w:rPr>
        <w:t>。主要变动原因是新增人员经费及大要案经费。</w:t>
      </w:r>
      <w:bookmarkStart w:id="26" w:name="_Toc15396604"/>
      <w:bookmarkStart w:id="27" w:name="_Toc15377206"/>
    </w:p>
    <w:p w:rsidR="00E47E61" w:rsidRDefault="00E47E61">
      <w:pPr>
        <w:spacing w:line="600" w:lineRule="exact"/>
        <w:ind w:firstLineChars="200" w:firstLine="640"/>
        <w:rPr>
          <w:rFonts w:ascii="仿宋" w:eastAsia="仿宋" w:hAnsi="仿宋"/>
          <w:color w:val="000000"/>
          <w:sz w:val="32"/>
          <w:szCs w:val="32"/>
        </w:rPr>
      </w:pPr>
    </w:p>
    <w:p w:rsidR="00E47E61" w:rsidRDefault="00776817">
      <w:pPr>
        <w:tabs>
          <w:tab w:val="left" w:pos="7380"/>
        </w:tabs>
        <w:spacing w:line="600" w:lineRule="exact"/>
        <w:ind w:left="640"/>
        <w:outlineLvl w:val="1"/>
        <w:rPr>
          <w:rFonts w:ascii="黑体" w:eastAsia="黑体" w:hAnsi="黑体" w:cstheme="majorBidi"/>
          <w:bCs/>
          <w:sz w:val="32"/>
          <w:szCs w:val="32"/>
        </w:rPr>
      </w:pPr>
      <w:r>
        <w:rPr>
          <w:rFonts w:ascii="黑体" w:eastAsia="黑体" w:hAnsi="黑体" w:cstheme="majorBidi"/>
          <w:bCs/>
          <w:noProof/>
          <w:sz w:val="32"/>
          <w:szCs w:val="32"/>
        </w:rPr>
        <w:drawing>
          <wp:anchor distT="0" distB="0" distL="0" distR="0" simplePos="0" relativeHeight="251658240" behindDoc="0" locked="0" layoutInCell="1" allowOverlap="1">
            <wp:simplePos x="0" y="0"/>
            <wp:positionH relativeFrom="column">
              <wp:posOffset>257175</wp:posOffset>
            </wp:positionH>
            <wp:positionV relativeFrom="paragraph">
              <wp:posOffset>15240</wp:posOffset>
            </wp:positionV>
            <wp:extent cx="5629275" cy="3467100"/>
            <wp:effectExtent l="19050" t="0" r="9525" b="0"/>
            <wp:wrapNone/>
            <wp:docPr id="1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DD0F2B">
        <w:rPr>
          <w:rFonts w:ascii="黑体" w:eastAsia="黑体" w:hAnsi="黑体" w:cstheme="majorBidi"/>
          <w:bCs/>
          <w:sz w:val="32"/>
          <w:szCs w:val="32"/>
        </w:rPr>
        <w:tab/>
      </w:r>
    </w:p>
    <w:p w:rsidR="00E47E61" w:rsidRDefault="00DD0F2B">
      <w:pPr>
        <w:tabs>
          <w:tab w:val="left" w:pos="2010"/>
        </w:tabs>
        <w:spacing w:line="600" w:lineRule="exact"/>
        <w:ind w:left="640"/>
        <w:outlineLvl w:val="1"/>
        <w:rPr>
          <w:rFonts w:ascii="黑体" w:eastAsia="黑体" w:hAnsi="黑体" w:cstheme="majorBidi"/>
          <w:bCs/>
          <w:sz w:val="32"/>
          <w:szCs w:val="32"/>
        </w:rPr>
      </w:pPr>
      <w:r>
        <w:rPr>
          <w:rFonts w:ascii="黑体" w:eastAsia="黑体" w:hAnsi="黑体" w:cstheme="majorBidi"/>
          <w:bCs/>
          <w:sz w:val="32"/>
          <w:szCs w:val="32"/>
        </w:rPr>
        <w:tab/>
      </w:r>
    </w:p>
    <w:p w:rsidR="00E47E61" w:rsidRDefault="00DD0F2B">
      <w:pPr>
        <w:tabs>
          <w:tab w:val="left" w:pos="2010"/>
          <w:tab w:val="left" w:pos="5160"/>
        </w:tabs>
        <w:spacing w:line="600" w:lineRule="exact"/>
        <w:ind w:left="640"/>
        <w:outlineLvl w:val="1"/>
        <w:rPr>
          <w:rFonts w:ascii="黑体" w:eastAsia="黑体" w:hAnsi="黑体" w:cstheme="majorBidi"/>
          <w:bCs/>
          <w:sz w:val="32"/>
          <w:szCs w:val="32"/>
        </w:rPr>
      </w:pPr>
      <w:r>
        <w:rPr>
          <w:rFonts w:ascii="黑体" w:eastAsia="黑体" w:hAnsi="黑体" w:cstheme="majorBidi"/>
          <w:bCs/>
          <w:sz w:val="32"/>
          <w:szCs w:val="32"/>
        </w:rPr>
        <w:tab/>
      </w:r>
      <w:r>
        <w:rPr>
          <w:rFonts w:ascii="黑体" w:eastAsia="黑体" w:hAnsi="黑体" w:cstheme="majorBidi"/>
          <w:bCs/>
          <w:sz w:val="32"/>
          <w:szCs w:val="32"/>
        </w:rPr>
        <w:tab/>
      </w:r>
    </w:p>
    <w:p w:rsidR="00E47E61" w:rsidRDefault="00E47E61">
      <w:pPr>
        <w:spacing w:line="600" w:lineRule="exact"/>
        <w:ind w:left="640"/>
        <w:outlineLvl w:val="1"/>
        <w:rPr>
          <w:rFonts w:ascii="黑体" w:eastAsia="黑体" w:hAnsi="黑体" w:cstheme="majorBidi"/>
          <w:bCs/>
          <w:sz w:val="32"/>
          <w:szCs w:val="32"/>
        </w:rPr>
      </w:pPr>
    </w:p>
    <w:p w:rsidR="00E47E61" w:rsidRDefault="00E47E61">
      <w:pPr>
        <w:spacing w:line="600" w:lineRule="exact"/>
        <w:ind w:left="640"/>
        <w:outlineLvl w:val="1"/>
        <w:rPr>
          <w:rFonts w:ascii="黑体" w:eastAsia="黑体" w:hAnsi="黑体" w:cstheme="majorBidi"/>
          <w:bCs/>
          <w:sz w:val="32"/>
          <w:szCs w:val="32"/>
        </w:rPr>
      </w:pPr>
    </w:p>
    <w:p w:rsidR="00E47E61" w:rsidRDefault="00DD0F2B">
      <w:pPr>
        <w:tabs>
          <w:tab w:val="left" w:pos="7365"/>
        </w:tabs>
        <w:spacing w:line="600" w:lineRule="exact"/>
        <w:ind w:left="640"/>
        <w:outlineLvl w:val="1"/>
        <w:rPr>
          <w:rFonts w:ascii="黑体" w:eastAsia="黑体" w:hAnsi="黑体" w:cstheme="majorBidi"/>
          <w:bCs/>
          <w:sz w:val="32"/>
          <w:szCs w:val="32"/>
        </w:rPr>
      </w:pPr>
      <w:r>
        <w:rPr>
          <w:rFonts w:ascii="黑体" w:eastAsia="黑体" w:hAnsi="黑体" w:cstheme="majorBidi"/>
          <w:bCs/>
          <w:sz w:val="32"/>
          <w:szCs w:val="32"/>
        </w:rPr>
        <w:tab/>
      </w:r>
    </w:p>
    <w:p w:rsidR="00E47E61" w:rsidRDefault="00E47E61">
      <w:pPr>
        <w:spacing w:line="600" w:lineRule="exact"/>
        <w:ind w:left="640"/>
        <w:outlineLvl w:val="1"/>
        <w:rPr>
          <w:rFonts w:ascii="黑体" w:eastAsia="黑体" w:hAnsi="黑体" w:cstheme="majorBidi"/>
          <w:bCs/>
          <w:sz w:val="32"/>
          <w:szCs w:val="32"/>
        </w:rPr>
      </w:pPr>
    </w:p>
    <w:p w:rsidR="00E47E61" w:rsidRDefault="00E47E61">
      <w:pPr>
        <w:spacing w:line="600" w:lineRule="exact"/>
        <w:ind w:left="640"/>
        <w:outlineLvl w:val="1"/>
        <w:rPr>
          <w:rFonts w:ascii="黑体" w:eastAsia="黑体" w:hAnsi="黑体" w:cstheme="majorBidi"/>
          <w:bCs/>
          <w:sz w:val="32"/>
          <w:szCs w:val="32"/>
        </w:rPr>
      </w:pPr>
    </w:p>
    <w:p w:rsidR="00776817" w:rsidRDefault="00776817" w:rsidP="00776817">
      <w:pPr>
        <w:pStyle w:val="11"/>
        <w:spacing w:line="600" w:lineRule="exact"/>
        <w:ind w:left="640" w:firstLineChars="0" w:firstLine="0"/>
        <w:outlineLvl w:val="1"/>
        <w:rPr>
          <w:rFonts w:ascii="黑体" w:eastAsia="黑体" w:hAnsi="黑体" w:cstheme="majorBidi" w:hint="eastAsia"/>
          <w:bCs/>
          <w:sz w:val="32"/>
          <w:szCs w:val="32"/>
        </w:rPr>
      </w:pPr>
    </w:p>
    <w:p w:rsidR="00776817" w:rsidRPr="00776817" w:rsidRDefault="00776817" w:rsidP="00776817">
      <w:pPr>
        <w:pStyle w:val="11"/>
        <w:spacing w:line="600" w:lineRule="exact"/>
        <w:ind w:left="640" w:firstLineChars="0" w:firstLine="0"/>
        <w:outlineLvl w:val="1"/>
        <w:rPr>
          <w:rFonts w:ascii="黑体" w:eastAsia="黑体" w:hAnsi="黑体" w:cstheme="majorBidi" w:hint="eastAsia"/>
          <w:bCs/>
          <w:sz w:val="32"/>
          <w:szCs w:val="32"/>
        </w:rPr>
      </w:pPr>
    </w:p>
    <w:p w:rsidR="00E47E61" w:rsidRDefault="00DD0F2B">
      <w:pPr>
        <w:pStyle w:val="11"/>
        <w:numPr>
          <w:ilvl w:val="0"/>
          <w:numId w:val="1"/>
        </w:numPr>
        <w:spacing w:line="600" w:lineRule="exact"/>
        <w:ind w:firstLineChars="0"/>
        <w:outlineLvl w:val="1"/>
        <w:rPr>
          <w:rStyle w:val="2Char"/>
          <w:rFonts w:ascii="黑体" w:eastAsia="黑体" w:hAnsi="黑体"/>
          <w:b w:val="0"/>
        </w:rPr>
      </w:pPr>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E47E61" w:rsidRDefault="00DD0F2B">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年本年收入合计</w:t>
      </w:r>
      <w:r>
        <w:rPr>
          <w:rFonts w:ascii="仿宋" w:eastAsia="仿宋" w:hAnsi="仿宋" w:hint="eastAsia"/>
          <w:color w:val="000000"/>
          <w:sz w:val="32"/>
          <w:szCs w:val="32"/>
        </w:rPr>
        <w:t>2324.85</w:t>
      </w:r>
      <w:r>
        <w:rPr>
          <w:rFonts w:ascii="仿宋" w:eastAsia="仿宋" w:hAnsi="仿宋" w:hint="eastAsia"/>
          <w:color w:val="000000"/>
          <w:sz w:val="32"/>
          <w:szCs w:val="32"/>
        </w:rPr>
        <w:t>元，其中：一般公共预算财政拨款收入</w:t>
      </w:r>
      <w:r>
        <w:rPr>
          <w:rFonts w:ascii="仿宋" w:eastAsia="仿宋" w:hAnsi="仿宋" w:hint="eastAsia"/>
          <w:color w:val="000000"/>
          <w:sz w:val="32"/>
          <w:szCs w:val="32"/>
        </w:rPr>
        <w:t>2321.26</w:t>
      </w:r>
      <w:r>
        <w:rPr>
          <w:rFonts w:ascii="仿宋" w:eastAsia="仿宋" w:hAnsi="仿宋" w:hint="eastAsia"/>
          <w:color w:val="000000"/>
          <w:sz w:val="32"/>
          <w:szCs w:val="32"/>
        </w:rPr>
        <w:t>万元，占</w:t>
      </w:r>
      <w:r>
        <w:rPr>
          <w:rFonts w:ascii="仿宋" w:eastAsia="仿宋" w:hAnsi="仿宋" w:hint="eastAsia"/>
          <w:color w:val="000000"/>
          <w:sz w:val="32"/>
          <w:szCs w:val="32"/>
        </w:rPr>
        <w:t>99.85</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0.00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0.00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0.00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0.00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0.00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3.6</w:t>
      </w:r>
      <w:r>
        <w:rPr>
          <w:rFonts w:ascii="仿宋" w:eastAsia="仿宋" w:hAnsi="仿宋" w:hint="eastAsia"/>
          <w:color w:val="000000"/>
          <w:sz w:val="32"/>
          <w:szCs w:val="32"/>
        </w:rPr>
        <w:t>万元，</w:t>
      </w:r>
      <w:r w:rsidR="00776817">
        <w:rPr>
          <w:rFonts w:ascii="仿宋" w:eastAsia="仿宋" w:hAnsi="仿宋" w:hint="eastAsia"/>
          <w:noProof/>
          <w:color w:val="000000"/>
          <w:sz w:val="32"/>
          <w:szCs w:val="32"/>
        </w:rPr>
        <w:drawing>
          <wp:anchor distT="0" distB="0" distL="0" distR="0" simplePos="0" relativeHeight="251664384" behindDoc="0" locked="0" layoutInCell="1" allowOverlap="1">
            <wp:simplePos x="0" y="0"/>
            <wp:positionH relativeFrom="column">
              <wp:posOffset>114300</wp:posOffset>
            </wp:positionH>
            <wp:positionV relativeFrom="paragraph">
              <wp:posOffset>647065</wp:posOffset>
            </wp:positionV>
            <wp:extent cx="5274310" cy="2695575"/>
            <wp:effectExtent l="19050" t="0" r="2159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eastAsia="仿宋" w:hAnsi="仿宋" w:hint="eastAsia"/>
          <w:color w:val="000000"/>
          <w:sz w:val="32"/>
          <w:szCs w:val="32"/>
        </w:rPr>
        <w:t>占</w:t>
      </w:r>
      <w:r>
        <w:rPr>
          <w:rFonts w:ascii="仿宋" w:eastAsia="仿宋" w:hAnsi="仿宋" w:hint="eastAsia"/>
          <w:color w:val="000000"/>
          <w:sz w:val="32"/>
          <w:szCs w:val="32"/>
        </w:rPr>
        <w:t>0.15</w:t>
      </w:r>
      <w:r>
        <w:rPr>
          <w:rFonts w:ascii="仿宋" w:eastAsia="仿宋" w:hAnsi="仿宋"/>
          <w:color w:val="000000"/>
          <w:sz w:val="32"/>
          <w:szCs w:val="32"/>
        </w:rPr>
        <w:t>%</w:t>
      </w:r>
      <w:r>
        <w:rPr>
          <w:rFonts w:ascii="仿宋" w:eastAsia="仿宋" w:hAnsi="仿宋" w:hint="eastAsia"/>
          <w:color w:val="000000"/>
          <w:sz w:val="32"/>
          <w:szCs w:val="32"/>
        </w:rPr>
        <w:t>。</w:t>
      </w:r>
    </w:p>
    <w:p w:rsidR="00E47E61" w:rsidRPr="00776817" w:rsidRDefault="00E47E61" w:rsidP="00776817">
      <w:pPr>
        <w:spacing w:line="600" w:lineRule="exact"/>
        <w:outlineLvl w:val="1"/>
        <w:rPr>
          <w:rFonts w:ascii="仿宋" w:eastAsia="仿宋" w:hAnsi="仿宋"/>
          <w:color w:val="000000"/>
          <w:sz w:val="32"/>
          <w:szCs w:val="32"/>
        </w:rPr>
      </w:pPr>
    </w:p>
    <w:p w:rsidR="00E47E61" w:rsidRDefault="00DD0F2B">
      <w:pPr>
        <w:pStyle w:val="11"/>
        <w:numPr>
          <w:ilvl w:val="0"/>
          <w:numId w:val="1"/>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E47E61" w:rsidRDefault="00DD0F2B">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仿宋" w:eastAsia="仿宋" w:hAnsi="仿宋" w:hint="eastAsia"/>
          <w:color w:val="000000"/>
          <w:sz w:val="32"/>
          <w:szCs w:val="32"/>
        </w:rPr>
        <w:t>2304.65</w:t>
      </w:r>
      <w:r>
        <w:rPr>
          <w:rFonts w:ascii="仿宋" w:eastAsia="仿宋" w:hAnsi="仿宋" w:hint="eastAsia"/>
          <w:color w:val="000000"/>
          <w:sz w:val="32"/>
          <w:szCs w:val="32"/>
        </w:rPr>
        <w:t>万元，其中：基本支出</w:t>
      </w:r>
      <w:r>
        <w:rPr>
          <w:rFonts w:ascii="仿宋" w:eastAsia="仿宋" w:hAnsi="仿宋" w:hint="eastAsia"/>
          <w:color w:val="000000"/>
          <w:sz w:val="32"/>
          <w:szCs w:val="32"/>
        </w:rPr>
        <w:t>1340.80</w:t>
      </w:r>
      <w:r>
        <w:rPr>
          <w:rFonts w:ascii="仿宋" w:eastAsia="仿宋" w:hAnsi="仿宋" w:hint="eastAsia"/>
          <w:color w:val="000000"/>
          <w:sz w:val="32"/>
          <w:szCs w:val="32"/>
        </w:rPr>
        <w:t>万元，占</w:t>
      </w:r>
      <w:r>
        <w:rPr>
          <w:rFonts w:ascii="仿宋" w:eastAsia="仿宋" w:hAnsi="仿宋" w:hint="eastAsia"/>
          <w:color w:val="000000"/>
          <w:sz w:val="32"/>
          <w:szCs w:val="32"/>
        </w:rPr>
        <w:t>58.18</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963.85</w:t>
      </w:r>
      <w:r>
        <w:rPr>
          <w:rFonts w:ascii="仿宋" w:eastAsia="仿宋" w:hAnsi="仿宋" w:hint="eastAsia"/>
          <w:color w:val="000000"/>
          <w:sz w:val="32"/>
          <w:szCs w:val="32"/>
        </w:rPr>
        <w:t>万元，占</w:t>
      </w:r>
      <w:r>
        <w:rPr>
          <w:rFonts w:ascii="仿宋" w:eastAsia="仿宋" w:hAnsi="仿宋" w:hint="eastAsia"/>
          <w:color w:val="000000"/>
          <w:sz w:val="32"/>
          <w:szCs w:val="32"/>
        </w:rPr>
        <w:t>41.82</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0.00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0.00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0.00</w:t>
      </w:r>
      <w:r>
        <w:rPr>
          <w:rFonts w:ascii="仿宋" w:eastAsia="仿宋" w:hAnsi="仿宋"/>
          <w:color w:val="000000"/>
          <w:sz w:val="32"/>
          <w:szCs w:val="32"/>
        </w:rPr>
        <w:t>%</w:t>
      </w:r>
      <w:r>
        <w:rPr>
          <w:rFonts w:ascii="仿宋" w:eastAsia="仿宋" w:hAnsi="仿宋" w:hint="eastAsia"/>
          <w:color w:val="000000"/>
          <w:sz w:val="32"/>
          <w:szCs w:val="32"/>
        </w:rPr>
        <w:t>。</w:t>
      </w:r>
    </w:p>
    <w:p w:rsidR="00E47E61" w:rsidRDefault="00DD0F2B">
      <w:pPr>
        <w:spacing w:line="600" w:lineRule="exact"/>
        <w:ind w:firstLineChars="200" w:firstLine="640"/>
        <w:rPr>
          <w:rFonts w:ascii="仿宋" w:eastAsia="仿宋" w:hAnsi="仿宋"/>
          <w:color w:val="FF0000"/>
          <w:sz w:val="32"/>
          <w:szCs w:val="32"/>
        </w:rPr>
      </w:pPr>
      <w:r>
        <w:rPr>
          <w:rFonts w:ascii="仿宋" w:eastAsia="仿宋" w:hAnsi="仿宋"/>
          <w:noProof/>
          <w:color w:val="FF0000"/>
          <w:sz w:val="32"/>
          <w:szCs w:val="32"/>
        </w:rPr>
        <w:drawing>
          <wp:anchor distT="0" distB="0" distL="0" distR="0" simplePos="0" relativeHeight="251659264" behindDoc="0" locked="0" layoutInCell="1" allowOverlap="1">
            <wp:simplePos x="0" y="0"/>
            <wp:positionH relativeFrom="column">
              <wp:posOffset>333375</wp:posOffset>
            </wp:positionH>
            <wp:positionV relativeFrom="paragraph">
              <wp:posOffset>285750</wp:posOffset>
            </wp:positionV>
            <wp:extent cx="5105400" cy="2657475"/>
            <wp:effectExtent l="19050" t="0" r="19050" b="0"/>
            <wp:wrapSquare wrapText="bothSides"/>
            <wp:docPr id="17"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47E61" w:rsidRDefault="00E47E61">
      <w:pPr>
        <w:spacing w:line="600" w:lineRule="exact"/>
        <w:ind w:firstLineChars="200" w:firstLine="640"/>
        <w:rPr>
          <w:rFonts w:ascii="仿宋" w:eastAsia="仿宋" w:hAnsi="仿宋"/>
          <w:color w:val="FF0000"/>
          <w:sz w:val="32"/>
          <w:szCs w:val="32"/>
        </w:rPr>
      </w:pPr>
    </w:p>
    <w:p w:rsidR="00E47E61" w:rsidRDefault="00E47E61">
      <w:pPr>
        <w:spacing w:line="600" w:lineRule="exact"/>
        <w:ind w:firstLineChars="200" w:firstLine="640"/>
        <w:rPr>
          <w:rFonts w:ascii="仿宋" w:eastAsia="仿宋" w:hAnsi="仿宋"/>
          <w:color w:val="FF0000"/>
          <w:sz w:val="32"/>
          <w:szCs w:val="32"/>
        </w:rPr>
      </w:pPr>
    </w:p>
    <w:p w:rsidR="00E47E61" w:rsidRDefault="00E47E61">
      <w:pPr>
        <w:spacing w:line="600" w:lineRule="exact"/>
        <w:ind w:firstLineChars="200" w:firstLine="640"/>
        <w:rPr>
          <w:rFonts w:ascii="仿宋" w:eastAsia="仿宋" w:hAnsi="仿宋"/>
          <w:color w:val="FF0000"/>
          <w:sz w:val="32"/>
          <w:szCs w:val="32"/>
        </w:rPr>
      </w:pPr>
    </w:p>
    <w:p w:rsidR="00E47E61" w:rsidRDefault="00E47E61">
      <w:pPr>
        <w:spacing w:line="600" w:lineRule="exact"/>
        <w:ind w:firstLineChars="200" w:firstLine="640"/>
        <w:rPr>
          <w:rFonts w:ascii="仿宋" w:eastAsia="仿宋" w:hAnsi="仿宋"/>
          <w:color w:val="FF0000"/>
          <w:sz w:val="32"/>
          <w:szCs w:val="32"/>
        </w:rPr>
      </w:pPr>
    </w:p>
    <w:p w:rsidR="00E47E61" w:rsidRDefault="00E47E61">
      <w:pPr>
        <w:spacing w:line="600" w:lineRule="exact"/>
        <w:ind w:firstLineChars="200" w:firstLine="640"/>
        <w:rPr>
          <w:rFonts w:ascii="仿宋_GB2312" w:eastAsia="仿宋_GB2312"/>
          <w:color w:val="FF0000"/>
          <w:sz w:val="32"/>
          <w:szCs w:val="32"/>
        </w:rPr>
      </w:pPr>
    </w:p>
    <w:p w:rsidR="00E47E61" w:rsidRDefault="00E47E61">
      <w:pPr>
        <w:spacing w:line="600" w:lineRule="exact"/>
        <w:ind w:firstLineChars="200" w:firstLine="640"/>
        <w:rPr>
          <w:rFonts w:ascii="仿宋_GB2312" w:eastAsia="仿宋_GB2312"/>
          <w:color w:val="FF0000"/>
          <w:sz w:val="32"/>
          <w:szCs w:val="32"/>
        </w:rPr>
      </w:pPr>
    </w:p>
    <w:p w:rsidR="00776817" w:rsidRDefault="00776817">
      <w:pPr>
        <w:spacing w:line="600" w:lineRule="exact"/>
        <w:ind w:firstLineChars="200" w:firstLine="640"/>
        <w:outlineLvl w:val="1"/>
        <w:rPr>
          <w:rFonts w:ascii="黑体" w:eastAsia="黑体" w:hAnsi="黑体" w:hint="eastAsia"/>
          <w:color w:val="000000"/>
          <w:sz w:val="32"/>
          <w:szCs w:val="32"/>
        </w:rPr>
      </w:pPr>
      <w:bookmarkStart w:id="30" w:name="_Toc15377208"/>
      <w:bookmarkStart w:id="31" w:name="_Toc15396606"/>
    </w:p>
    <w:p w:rsidR="00E47E61" w:rsidRDefault="00DD0F2B">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E47E61" w:rsidRDefault="00776817">
      <w:pPr>
        <w:spacing w:line="600" w:lineRule="exact"/>
        <w:ind w:firstLine="640"/>
        <w:rPr>
          <w:rFonts w:ascii="仿宋" w:eastAsia="仿宋" w:hAnsi="仿宋" w:hint="eastAsia"/>
          <w:color w:val="000000"/>
          <w:sz w:val="32"/>
          <w:szCs w:val="32"/>
        </w:rPr>
      </w:pPr>
      <w:r>
        <w:rPr>
          <w:rFonts w:ascii="仿宋" w:eastAsia="仿宋" w:hAnsi="仿宋"/>
          <w:noProof/>
          <w:color w:val="000000"/>
          <w:sz w:val="32"/>
          <w:szCs w:val="32"/>
        </w:rPr>
        <w:drawing>
          <wp:anchor distT="0" distB="0" distL="0" distR="0" simplePos="0" relativeHeight="251660288" behindDoc="0" locked="0" layoutInCell="1" allowOverlap="1">
            <wp:simplePos x="0" y="0"/>
            <wp:positionH relativeFrom="column">
              <wp:posOffset>28575</wp:posOffset>
            </wp:positionH>
            <wp:positionV relativeFrom="paragraph">
              <wp:posOffset>1266825</wp:posOffset>
            </wp:positionV>
            <wp:extent cx="5667375" cy="2638425"/>
            <wp:effectExtent l="19050" t="0" r="9525" b="0"/>
            <wp:wrapSquare wrapText="bothSides"/>
            <wp:docPr id="18"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DD0F2B">
        <w:rPr>
          <w:rFonts w:ascii="仿宋" w:eastAsia="仿宋" w:hAnsi="仿宋"/>
          <w:color w:val="000000"/>
          <w:sz w:val="32"/>
          <w:szCs w:val="32"/>
        </w:rPr>
        <w:t>201</w:t>
      </w:r>
      <w:r w:rsidR="00DD0F2B">
        <w:rPr>
          <w:rFonts w:ascii="仿宋" w:eastAsia="仿宋" w:hAnsi="仿宋" w:hint="eastAsia"/>
          <w:color w:val="000000"/>
          <w:sz w:val="32"/>
          <w:szCs w:val="32"/>
        </w:rPr>
        <w:t>9</w:t>
      </w:r>
      <w:r w:rsidR="00DD0F2B">
        <w:rPr>
          <w:rFonts w:ascii="仿宋" w:eastAsia="仿宋" w:hAnsi="仿宋" w:hint="eastAsia"/>
          <w:color w:val="000000"/>
          <w:sz w:val="32"/>
          <w:szCs w:val="32"/>
        </w:rPr>
        <w:t>年财政拨款收、支总计</w:t>
      </w:r>
      <w:r w:rsidR="00DD0F2B">
        <w:rPr>
          <w:rFonts w:ascii="仿宋" w:eastAsia="仿宋" w:hAnsi="仿宋" w:hint="eastAsia"/>
          <w:color w:val="000000"/>
          <w:sz w:val="32"/>
          <w:szCs w:val="32"/>
        </w:rPr>
        <w:t>2321.39</w:t>
      </w:r>
      <w:r w:rsidR="00DD0F2B">
        <w:rPr>
          <w:rFonts w:ascii="仿宋" w:eastAsia="仿宋" w:hAnsi="仿宋" w:hint="eastAsia"/>
          <w:color w:val="000000"/>
          <w:sz w:val="32"/>
          <w:szCs w:val="32"/>
        </w:rPr>
        <w:t>万元。与</w:t>
      </w:r>
      <w:r w:rsidR="00DD0F2B">
        <w:rPr>
          <w:rFonts w:ascii="仿宋" w:eastAsia="仿宋" w:hAnsi="仿宋"/>
          <w:color w:val="000000"/>
          <w:sz w:val="32"/>
          <w:szCs w:val="32"/>
        </w:rPr>
        <w:t>201</w:t>
      </w:r>
      <w:r w:rsidR="00DD0F2B">
        <w:rPr>
          <w:rFonts w:ascii="仿宋" w:eastAsia="仿宋" w:hAnsi="仿宋" w:hint="eastAsia"/>
          <w:color w:val="000000"/>
          <w:sz w:val="32"/>
          <w:szCs w:val="32"/>
        </w:rPr>
        <w:t>8</w:t>
      </w:r>
      <w:r w:rsidR="00DD0F2B">
        <w:rPr>
          <w:rFonts w:ascii="仿宋" w:eastAsia="仿宋" w:hAnsi="仿宋" w:hint="eastAsia"/>
          <w:color w:val="000000"/>
          <w:sz w:val="32"/>
          <w:szCs w:val="32"/>
        </w:rPr>
        <w:t>年相比，财政拨款收、支总计各增加</w:t>
      </w:r>
      <w:r w:rsidR="00DD0F2B">
        <w:rPr>
          <w:rFonts w:ascii="仿宋" w:eastAsia="仿宋" w:hAnsi="仿宋" w:hint="eastAsia"/>
          <w:color w:val="000000"/>
          <w:sz w:val="32"/>
          <w:szCs w:val="32"/>
        </w:rPr>
        <w:t>878.57</w:t>
      </w:r>
      <w:r w:rsidR="00DD0F2B">
        <w:rPr>
          <w:rFonts w:ascii="仿宋" w:eastAsia="仿宋" w:hAnsi="仿宋" w:hint="eastAsia"/>
          <w:color w:val="000000"/>
          <w:sz w:val="32"/>
          <w:szCs w:val="32"/>
        </w:rPr>
        <w:t>万元，增长</w:t>
      </w:r>
      <w:r w:rsidR="00DD0F2B">
        <w:rPr>
          <w:rFonts w:ascii="仿宋" w:eastAsia="仿宋" w:hAnsi="仿宋" w:hint="eastAsia"/>
          <w:color w:val="000000"/>
          <w:sz w:val="32"/>
          <w:szCs w:val="32"/>
        </w:rPr>
        <w:t>60.89</w:t>
      </w:r>
      <w:r w:rsidR="00DD0F2B">
        <w:rPr>
          <w:rFonts w:ascii="仿宋" w:eastAsia="仿宋" w:hAnsi="仿宋"/>
          <w:color w:val="000000"/>
          <w:sz w:val="32"/>
          <w:szCs w:val="32"/>
        </w:rPr>
        <w:t>%</w:t>
      </w:r>
      <w:r w:rsidR="00DD0F2B">
        <w:rPr>
          <w:rFonts w:ascii="仿宋" w:eastAsia="仿宋" w:hAnsi="仿宋" w:hint="eastAsia"/>
          <w:color w:val="000000"/>
          <w:sz w:val="32"/>
          <w:szCs w:val="32"/>
        </w:rPr>
        <w:t>。</w:t>
      </w:r>
      <w:r w:rsidR="00DD0F2B">
        <w:rPr>
          <w:rFonts w:ascii="仿宋" w:eastAsia="仿宋" w:hAnsi="仿宋" w:hint="eastAsia"/>
          <w:color w:val="000000"/>
          <w:sz w:val="32"/>
          <w:szCs w:val="32"/>
        </w:rPr>
        <w:t>主要变动原因是新增人员经费及大要案经费。</w:t>
      </w:r>
    </w:p>
    <w:p w:rsidR="00E47E61" w:rsidRDefault="00DD0F2B" w:rsidP="00776817">
      <w:pPr>
        <w:spacing w:line="600" w:lineRule="exact"/>
        <w:ind w:firstLineChars="250" w:firstLine="80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E47E61" w:rsidRDefault="00DD0F2B">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E47E61" w:rsidRDefault="00DD0F2B">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2302.49</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99.91</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年相比，一般公共预算财政拨款增加</w:t>
      </w:r>
      <w:r>
        <w:rPr>
          <w:rFonts w:ascii="仿宋" w:eastAsia="仿宋" w:hAnsi="仿宋" w:hint="eastAsia"/>
          <w:color w:val="000000"/>
          <w:sz w:val="32"/>
          <w:szCs w:val="32"/>
        </w:rPr>
        <w:t>859.8</w:t>
      </w:r>
      <w:r>
        <w:rPr>
          <w:rFonts w:ascii="仿宋" w:eastAsia="仿宋" w:hAnsi="仿宋" w:hint="eastAsia"/>
          <w:color w:val="000000"/>
          <w:sz w:val="32"/>
          <w:szCs w:val="32"/>
        </w:rPr>
        <w:t>万元，增长</w:t>
      </w:r>
      <w:r>
        <w:rPr>
          <w:rFonts w:ascii="仿宋" w:eastAsia="仿宋" w:hAnsi="仿宋" w:hint="eastAsia"/>
          <w:color w:val="000000"/>
          <w:sz w:val="32"/>
          <w:szCs w:val="32"/>
        </w:rPr>
        <w:t>59.60</w:t>
      </w:r>
      <w:r>
        <w:rPr>
          <w:rFonts w:ascii="仿宋" w:eastAsia="仿宋" w:hAnsi="仿宋"/>
          <w:color w:val="000000"/>
          <w:sz w:val="32"/>
          <w:szCs w:val="32"/>
        </w:rPr>
        <w:t>%</w:t>
      </w:r>
      <w:r>
        <w:rPr>
          <w:rFonts w:ascii="仿宋" w:eastAsia="仿宋" w:hAnsi="仿宋" w:hint="eastAsia"/>
          <w:color w:val="000000"/>
          <w:sz w:val="32"/>
          <w:szCs w:val="32"/>
        </w:rPr>
        <w:t>。主要变动原因是新增人员经费及大要案经费。</w:t>
      </w:r>
    </w:p>
    <w:p w:rsidR="00E47E61" w:rsidRDefault="00DD0F2B">
      <w:pPr>
        <w:spacing w:line="600" w:lineRule="exact"/>
        <w:ind w:firstLineChars="200" w:firstLine="640"/>
        <w:rPr>
          <w:rFonts w:ascii="仿宋" w:eastAsia="仿宋" w:hAnsi="仿宋"/>
          <w:color w:val="000000"/>
          <w:sz w:val="32"/>
          <w:szCs w:val="32"/>
        </w:rPr>
      </w:pPr>
      <w:r>
        <w:rPr>
          <w:rFonts w:ascii="仿宋" w:eastAsia="仿宋" w:hAnsi="仿宋"/>
          <w:noProof/>
          <w:color w:val="000000"/>
          <w:sz w:val="32"/>
          <w:szCs w:val="32"/>
        </w:rPr>
        <w:drawing>
          <wp:anchor distT="0" distB="0" distL="0" distR="0" simplePos="0" relativeHeight="251661312" behindDoc="0" locked="0" layoutInCell="1" allowOverlap="1">
            <wp:simplePos x="0" y="0"/>
            <wp:positionH relativeFrom="column">
              <wp:posOffset>342900</wp:posOffset>
            </wp:positionH>
            <wp:positionV relativeFrom="paragraph">
              <wp:posOffset>47625</wp:posOffset>
            </wp:positionV>
            <wp:extent cx="5105400" cy="2438400"/>
            <wp:effectExtent l="19050" t="0" r="19050" b="0"/>
            <wp:wrapSquare wrapText="bothSides"/>
            <wp:docPr id="19"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E47E61" w:rsidRDefault="00E47E61">
      <w:pPr>
        <w:spacing w:line="600" w:lineRule="exact"/>
        <w:rPr>
          <w:rFonts w:ascii="仿宋" w:eastAsia="仿宋" w:hAnsi="仿宋"/>
          <w:color w:val="FF0000"/>
          <w:sz w:val="32"/>
          <w:szCs w:val="32"/>
        </w:rPr>
      </w:pPr>
    </w:p>
    <w:p w:rsidR="00E47E61" w:rsidRDefault="00E47E61">
      <w:pPr>
        <w:spacing w:line="600" w:lineRule="exact"/>
        <w:ind w:firstLineChars="200" w:firstLine="640"/>
        <w:rPr>
          <w:rFonts w:ascii="仿宋" w:eastAsia="仿宋" w:hAnsi="仿宋"/>
          <w:color w:val="000000" w:themeColor="text1"/>
          <w:sz w:val="32"/>
          <w:szCs w:val="32"/>
        </w:rPr>
      </w:pPr>
    </w:p>
    <w:p w:rsidR="00E47E61" w:rsidRDefault="00E47E61">
      <w:pPr>
        <w:spacing w:line="600" w:lineRule="exact"/>
        <w:ind w:firstLineChars="200" w:firstLine="640"/>
        <w:rPr>
          <w:rFonts w:ascii="仿宋" w:eastAsia="仿宋" w:hAnsi="仿宋"/>
          <w:color w:val="000000" w:themeColor="text1"/>
          <w:sz w:val="32"/>
          <w:szCs w:val="32"/>
        </w:rPr>
      </w:pPr>
    </w:p>
    <w:p w:rsidR="00E47E61" w:rsidRDefault="00E47E61">
      <w:pPr>
        <w:spacing w:line="600" w:lineRule="exact"/>
        <w:ind w:firstLineChars="200" w:firstLine="640"/>
        <w:rPr>
          <w:rFonts w:ascii="仿宋" w:eastAsia="仿宋" w:hAnsi="仿宋"/>
          <w:color w:val="000000" w:themeColor="text1"/>
          <w:sz w:val="32"/>
          <w:szCs w:val="32"/>
        </w:rPr>
      </w:pPr>
    </w:p>
    <w:p w:rsidR="00E47E61" w:rsidRDefault="00E47E61" w:rsidP="00776817">
      <w:pPr>
        <w:spacing w:line="600" w:lineRule="exact"/>
        <w:rPr>
          <w:rFonts w:ascii="仿宋" w:eastAsia="仿宋" w:hAnsi="仿宋"/>
          <w:color w:val="000000" w:themeColor="text1"/>
          <w:sz w:val="32"/>
          <w:szCs w:val="32"/>
        </w:rPr>
      </w:pPr>
    </w:p>
    <w:p w:rsidR="00E47E61" w:rsidRDefault="00DD0F2B">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E47E61" w:rsidRDefault="00DD0F2B">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2302.49</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2206.98</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95.85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0.00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0.00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37.18</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1.64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卫生健康支出（类）</w:t>
      </w:r>
      <w:r>
        <w:rPr>
          <w:rFonts w:ascii="仿宋" w:eastAsia="仿宋" w:hAnsi="仿宋" w:hint="eastAsia"/>
          <w:color w:val="000000" w:themeColor="text1"/>
          <w:sz w:val="32"/>
          <w:szCs w:val="32"/>
        </w:rPr>
        <w:t>21.93</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0.95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住房保障支出（类）</w:t>
      </w:r>
      <w:r>
        <w:rPr>
          <w:rFonts w:ascii="仿宋" w:eastAsia="仿宋" w:hAnsi="仿宋" w:hint="eastAsia"/>
          <w:color w:val="000000" w:themeColor="text1"/>
          <w:sz w:val="32"/>
          <w:szCs w:val="32"/>
        </w:rPr>
        <w:t>35.79</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1.55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E47E61" w:rsidRDefault="00DD0F2B">
      <w:pPr>
        <w:spacing w:line="600" w:lineRule="exact"/>
        <w:ind w:firstLine="640"/>
        <w:rPr>
          <w:rFonts w:ascii="仿宋" w:eastAsia="仿宋" w:hAnsi="仿宋"/>
          <w:b/>
          <w:color w:val="000000" w:themeColor="text1"/>
          <w:sz w:val="32"/>
          <w:szCs w:val="32"/>
        </w:rPr>
      </w:pPr>
      <w:r>
        <w:rPr>
          <w:rFonts w:ascii="仿宋" w:eastAsia="仿宋" w:hAnsi="仿宋"/>
          <w:b/>
          <w:noProof/>
          <w:color w:val="000000" w:themeColor="text1"/>
          <w:sz w:val="32"/>
          <w:szCs w:val="32"/>
        </w:rPr>
        <w:drawing>
          <wp:anchor distT="0" distB="0" distL="0" distR="0" simplePos="0" relativeHeight="251662336" behindDoc="0" locked="0" layoutInCell="1" allowOverlap="1">
            <wp:simplePos x="0" y="0"/>
            <wp:positionH relativeFrom="column">
              <wp:posOffset>428625</wp:posOffset>
            </wp:positionH>
            <wp:positionV relativeFrom="paragraph">
              <wp:posOffset>171450</wp:posOffset>
            </wp:positionV>
            <wp:extent cx="5019675" cy="2447925"/>
            <wp:effectExtent l="19050" t="0" r="9525" b="0"/>
            <wp:wrapSquare wrapText="bothSides"/>
            <wp:docPr id="20"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E47E61" w:rsidRDefault="00E47E61">
      <w:pPr>
        <w:spacing w:line="600" w:lineRule="exact"/>
        <w:ind w:firstLine="640"/>
        <w:rPr>
          <w:rFonts w:ascii="仿宋" w:eastAsia="仿宋" w:hAnsi="仿宋"/>
          <w:color w:val="000000" w:themeColor="text1"/>
          <w:sz w:val="32"/>
          <w:szCs w:val="32"/>
        </w:rPr>
      </w:pPr>
    </w:p>
    <w:p w:rsidR="00E47E61" w:rsidRDefault="00E47E61">
      <w:pPr>
        <w:spacing w:line="600" w:lineRule="exact"/>
        <w:ind w:firstLineChars="200" w:firstLine="640"/>
        <w:rPr>
          <w:rFonts w:ascii="仿宋" w:eastAsia="仿宋" w:hAnsi="仿宋"/>
          <w:color w:val="000000"/>
          <w:sz w:val="32"/>
          <w:szCs w:val="32"/>
        </w:rPr>
      </w:pPr>
    </w:p>
    <w:p w:rsidR="00E47E61" w:rsidRDefault="00E47E61">
      <w:pPr>
        <w:spacing w:line="600" w:lineRule="exact"/>
        <w:ind w:firstLineChars="200" w:firstLine="640"/>
        <w:rPr>
          <w:rFonts w:ascii="仿宋" w:eastAsia="仿宋" w:hAnsi="仿宋"/>
          <w:color w:val="000000"/>
          <w:sz w:val="32"/>
          <w:szCs w:val="32"/>
        </w:rPr>
      </w:pPr>
    </w:p>
    <w:p w:rsidR="00E47E61" w:rsidRDefault="00E47E61">
      <w:pPr>
        <w:spacing w:line="600" w:lineRule="exact"/>
        <w:ind w:firstLineChars="200" w:firstLine="640"/>
        <w:rPr>
          <w:rFonts w:ascii="仿宋" w:eastAsia="仿宋" w:hAnsi="仿宋"/>
          <w:color w:val="000000"/>
          <w:sz w:val="32"/>
          <w:szCs w:val="32"/>
        </w:rPr>
      </w:pPr>
    </w:p>
    <w:p w:rsidR="00E47E61" w:rsidRDefault="00E47E61">
      <w:pPr>
        <w:spacing w:line="600" w:lineRule="exact"/>
        <w:ind w:firstLineChars="200" w:firstLine="640"/>
        <w:rPr>
          <w:rFonts w:ascii="仿宋" w:eastAsia="仿宋" w:hAnsi="仿宋"/>
          <w:color w:val="000000"/>
          <w:sz w:val="32"/>
          <w:szCs w:val="32"/>
        </w:rPr>
      </w:pPr>
    </w:p>
    <w:p w:rsidR="00E47E61" w:rsidRDefault="00E47E61">
      <w:pPr>
        <w:spacing w:line="600" w:lineRule="exact"/>
        <w:rPr>
          <w:rFonts w:ascii="仿宋" w:eastAsia="仿宋" w:hAnsi="仿宋"/>
          <w:color w:val="000000"/>
          <w:sz w:val="32"/>
          <w:szCs w:val="32"/>
        </w:rPr>
      </w:pPr>
    </w:p>
    <w:p w:rsidR="00E47E61" w:rsidRDefault="00DD0F2B">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E47E61" w:rsidRDefault="00DD0F2B">
      <w:pPr>
        <w:spacing w:line="600" w:lineRule="exact"/>
        <w:ind w:firstLineChars="200" w:firstLine="643"/>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年一般公共预算支出决算数为</w:t>
      </w:r>
      <w:r>
        <w:rPr>
          <w:rFonts w:ascii="仿宋" w:eastAsia="仿宋" w:hAnsi="仿宋" w:hint="eastAsia"/>
          <w:b/>
          <w:color w:val="000000" w:themeColor="text1"/>
          <w:sz w:val="32"/>
          <w:szCs w:val="32"/>
        </w:rPr>
        <w:t>2302.49</w:t>
      </w:r>
      <w:r>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Pr>
          <w:rStyle w:val="a7"/>
          <w:rFonts w:ascii="仿宋" w:eastAsia="仿宋" w:hAnsi="仿宋" w:hint="eastAsia"/>
          <w:bCs/>
          <w:color w:val="000000"/>
          <w:sz w:val="32"/>
          <w:szCs w:val="32"/>
        </w:rPr>
        <w:t>100.00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7"/>
      <w:bookmarkEnd w:id="38"/>
      <w:bookmarkEnd w:id="39"/>
    </w:p>
    <w:p w:rsidR="00E47E61" w:rsidRDefault="00DD0F2B">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1</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一般公共服务（类）纪检监察事务（款）行政运政（项）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1046.21</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，决算数与预算数持平。</w:t>
      </w:r>
    </w:p>
    <w:p w:rsidR="00E47E61" w:rsidRDefault="00DD0F2B">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2</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一般公共服务（类）纪检监察事务（款）一般行政管理事务（项）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508.65</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，决算数与预算数持平。</w:t>
      </w:r>
    </w:p>
    <w:p w:rsidR="00E47E61" w:rsidRDefault="00DD0F2B">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3</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一般公共服务（类）纪检监察事务（款）大案要案查处（项）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400.00</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，决算数与预算数持平。</w:t>
      </w:r>
    </w:p>
    <w:p w:rsidR="00E47E61" w:rsidRDefault="00DD0F2B">
      <w:pPr>
        <w:spacing w:line="600" w:lineRule="exact"/>
        <w:ind w:firstLineChars="200" w:firstLine="643"/>
        <w:rPr>
          <w:rFonts w:ascii="仿宋" w:eastAsia="仿宋" w:hAnsi="仿宋"/>
          <w:b/>
          <w:bCs/>
          <w:color w:val="000000"/>
          <w:sz w:val="32"/>
          <w:szCs w:val="32"/>
        </w:rPr>
      </w:pPr>
      <w:r>
        <w:rPr>
          <w:rStyle w:val="a7"/>
          <w:rFonts w:ascii="仿宋" w:eastAsia="仿宋" w:hAnsi="仿宋" w:hint="eastAsia"/>
          <w:bCs/>
          <w:color w:val="000000"/>
          <w:sz w:val="32"/>
          <w:szCs w:val="32"/>
        </w:rPr>
        <w:t>4</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一般公共服务（类）纪检监察事务（款）其他纪检监察事务支出（项）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252.12</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，决算数与预算数持平。</w:t>
      </w:r>
    </w:p>
    <w:p w:rsidR="00E47E61" w:rsidRDefault="00DD0F2B">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5</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社会保障和就业（类）行政事业单位离退休（款）机关事业单位基本养老保险缴费支出（项）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37.51</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，决算数与预算数持平。</w:t>
      </w:r>
    </w:p>
    <w:p w:rsidR="00E47E61" w:rsidRDefault="00DD0F2B">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7</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社会保障和就业（类）其他社会保障和就业支出（款）其他社会保障和就业支出（项）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0.27</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，决算数与预算数持平。</w:t>
      </w:r>
    </w:p>
    <w:p w:rsidR="00E47E61" w:rsidRDefault="00DD0F2B">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8</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卫生</w:t>
      </w:r>
      <w:r>
        <w:rPr>
          <w:rStyle w:val="a7"/>
          <w:rFonts w:ascii="仿宋" w:eastAsia="仿宋" w:hAnsi="仿宋" w:hint="eastAsia"/>
          <w:bCs/>
          <w:color w:val="000000"/>
          <w:sz w:val="32"/>
          <w:szCs w:val="32"/>
        </w:rPr>
        <w:t>健康（类）行政事业单位医疗（款）行政单位医疗（项）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21.93</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，决算数与预算数持平。</w:t>
      </w:r>
    </w:p>
    <w:p w:rsidR="00E47E61" w:rsidRDefault="00DD0F2B">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9</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住房保障（类）住房改革支出（款）住房公积金（项）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35.79</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，决算数与预算数持平。</w:t>
      </w:r>
    </w:p>
    <w:p w:rsidR="00E47E61" w:rsidRDefault="00DD0F2B">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E47E61" w:rsidRDefault="00DD0F2B">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1338.64</w:t>
      </w:r>
      <w:r>
        <w:rPr>
          <w:rFonts w:ascii="仿宋" w:eastAsia="仿宋" w:hAnsi="仿宋" w:hint="eastAsia"/>
          <w:color w:val="000000"/>
          <w:sz w:val="32"/>
          <w:szCs w:val="32"/>
        </w:rPr>
        <w:t>万元，其中：</w:t>
      </w:r>
    </w:p>
    <w:p w:rsidR="00E47E61" w:rsidRDefault="00DD0F2B">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1161.12</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177.52</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w:t>
      </w:r>
      <w:r>
        <w:rPr>
          <w:rFonts w:ascii="仿宋" w:eastAsia="仿宋" w:hAnsi="仿宋" w:hint="eastAsia"/>
          <w:color w:val="000000"/>
          <w:sz w:val="32"/>
          <w:szCs w:val="32"/>
        </w:rPr>
        <w:t>费、其他交通费、税金及附加费用、其他商品和服务支出、办公设备购置、专用设备购置、信息网络及软件购置更新、其他资本性支出等。</w:t>
      </w:r>
    </w:p>
    <w:p w:rsidR="00E47E61" w:rsidRDefault="00DD0F2B">
      <w:pPr>
        <w:spacing w:line="600" w:lineRule="exact"/>
        <w:ind w:firstLine="640"/>
        <w:outlineLvl w:val="1"/>
        <w:rPr>
          <w:rStyle w:val="2Char"/>
          <w:rFonts w:ascii="黑体" w:eastAsia="黑体" w:hAnsi="黑体"/>
          <w:b w:val="0"/>
        </w:rPr>
      </w:pPr>
      <w:bookmarkStart w:id="42" w:name="_Toc15377215"/>
      <w:bookmarkStart w:id="43"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E47E61" w:rsidRDefault="00DD0F2B">
      <w:pPr>
        <w:spacing w:line="600" w:lineRule="exact"/>
        <w:ind w:firstLine="640"/>
        <w:outlineLvl w:val="2"/>
        <w:rPr>
          <w:rFonts w:ascii="楷体" w:eastAsia="楷体" w:hAnsi="楷体"/>
          <w:b/>
          <w:color w:val="000000"/>
          <w:sz w:val="32"/>
          <w:szCs w:val="32"/>
        </w:rPr>
      </w:pPr>
      <w:bookmarkStart w:id="44" w:name="_Toc15377216"/>
      <w:r>
        <w:rPr>
          <w:rFonts w:ascii="楷体" w:eastAsia="楷体" w:hAnsi="楷体" w:hint="eastAsia"/>
          <w:b/>
          <w:color w:val="000000"/>
          <w:sz w:val="32"/>
          <w:szCs w:val="32"/>
        </w:rPr>
        <w:t>（一）“三公”经费财政拨款支出决算总体情况说明</w:t>
      </w:r>
      <w:bookmarkEnd w:id="44"/>
    </w:p>
    <w:p w:rsidR="00E47E61" w:rsidRDefault="00DD0F2B">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118.16</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，决算数与预算数持平。</w:t>
      </w:r>
    </w:p>
    <w:p w:rsidR="00E47E61" w:rsidRDefault="00DD0F2B">
      <w:pPr>
        <w:spacing w:line="600" w:lineRule="exact"/>
        <w:ind w:firstLine="640"/>
        <w:outlineLvl w:val="2"/>
        <w:rPr>
          <w:rFonts w:ascii="楷体" w:eastAsia="楷体" w:hAnsi="楷体"/>
          <w:b/>
          <w:color w:val="000000"/>
          <w:sz w:val="32"/>
          <w:szCs w:val="32"/>
        </w:rPr>
      </w:pPr>
      <w:bookmarkStart w:id="45" w:name="_Toc15377217"/>
      <w:r>
        <w:rPr>
          <w:rFonts w:ascii="楷体" w:eastAsia="楷体" w:hAnsi="楷体" w:hint="eastAsia"/>
          <w:b/>
          <w:color w:val="000000"/>
          <w:sz w:val="32"/>
          <w:szCs w:val="32"/>
        </w:rPr>
        <w:t>（二）“三公”经费财政拨款支出决算具体情况说明</w:t>
      </w:r>
      <w:bookmarkEnd w:id="45"/>
    </w:p>
    <w:p w:rsidR="00E47E61" w:rsidRDefault="00DD0F2B">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0.00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116.91</w:t>
      </w:r>
      <w:r>
        <w:rPr>
          <w:rFonts w:ascii="仿宋" w:eastAsia="仿宋" w:hAnsi="仿宋" w:hint="eastAsia"/>
          <w:color w:val="000000"/>
          <w:sz w:val="32"/>
          <w:szCs w:val="32"/>
        </w:rPr>
        <w:t>万元，占</w:t>
      </w:r>
      <w:r>
        <w:rPr>
          <w:rFonts w:ascii="仿宋" w:eastAsia="仿宋" w:hAnsi="仿宋" w:hint="eastAsia"/>
          <w:color w:val="000000"/>
          <w:sz w:val="32"/>
          <w:szCs w:val="32"/>
        </w:rPr>
        <w:t>98.94</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1.25</w:t>
      </w:r>
      <w:r>
        <w:rPr>
          <w:rFonts w:ascii="仿宋" w:eastAsia="仿宋" w:hAnsi="仿宋" w:hint="eastAsia"/>
          <w:color w:val="000000"/>
          <w:sz w:val="32"/>
          <w:szCs w:val="32"/>
        </w:rPr>
        <w:t>万元，占</w:t>
      </w:r>
      <w:r>
        <w:rPr>
          <w:rFonts w:ascii="仿宋" w:eastAsia="仿宋" w:hAnsi="仿宋" w:hint="eastAsia"/>
          <w:color w:val="000000"/>
          <w:sz w:val="32"/>
          <w:szCs w:val="32"/>
        </w:rPr>
        <w:t>1.06</w:t>
      </w:r>
      <w:r>
        <w:rPr>
          <w:rFonts w:ascii="仿宋" w:eastAsia="仿宋" w:hAnsi="仿宋"/>
          <w:color w:val="000000"/>
          <w:sz w:val="32"/>
          <w:szCs w:val="32"/>
        </w:rPr>
        <w:t>%</w:t>
      </w:r>
      <w:r>
        <w:rPr>
          <w:rFonts w:ascii="仿宋" w:eastAsia="仿宋" w:hAnsi="仿宋" w:hint="eastAsia"/>
          <w:color w:val="000000"/>
          <w:sz w:val="32"/>
          <w:szCs w:val="32"/>
        </w:rPr>
        <w:t>。具体情况如下：</w:t>
      </w:r>
    </w:p>
    <w:p w:rsidR="00E47E61" w:rsidRDefault="00DD0F2B">
      <w:pPr>
        <w:spacing w:line="600" w:lineRule="exact"/>
        <w:ind w:firstLine="640"/>
        <w:rPr>
          <w:rFonts w:ascii="仿宋_GB2312" w:eastAsia="仿宋_GB2312"/>
          <w:b/>
          <w:color w:val="000000"/>
          <w:sz w:val="32"/>
          <w:szCs w:val="32"/>
        </w:rPr>
      </w:pPr>
      <w:r>
        <w:rPr>
          <w:rFonts w:ascii="仿宋_GB2312" w:eastAsia="仿宋_GB2312"/>
          <w:b/>
          <w:noProof/>
          <w:color w:val="000000"/>
          <w:sz w:val="32"/>
          <w:szCs w:val="32"/>
        </w:rPr>
        <w:drawing>
          <wp:anchor distT="0" distB="0" distL="0" distR="0" simplePos="0" relativeHeight="251663360" behindDoc="0" locked="0" layoutInCell="1" allowOverlap="1">
            <wp:simplePos x="0" y="0"/>
            <wp:positionH relativeFrom="column">
              <wp:posOffset>287655</wp:posOffset>
            </wp:positionH>
            <wp:positionV relativeFrom="paragraph">
              <wp:posOffset>57150</wp:posOffset>
            </wp:positionV>
            <wp:extent cx="4857750" cy="1695450"/>
            <wp:effectExtent l="19050" t="0" r="19050" b="0"/>
            <wp:wrapSquare wrapText="bothSides"/>
            <wp:docPr id="22"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E47E61" w:rsidRDefault="00E47E61">
      <w:pPr>
        <w:spacing w:line="600" w:lineRule="exact"/>
        <w:ind w:firstLine="640"/>
        <w:rPr>
          <w:rFonts w:ascii="仿宋_GB2312" w:eastAsia="仿宋_GB2312"/>
          <w:b/>
          <w:color w:val="000000"/>
          <w:sz w:val="32"/>
          <w:szCs w:val="32"/>
        </w:rPr>
      </w:pPr>
    </w:p>
    <w:p w:rsidR="00E47E61" w:rsidRDefault="00E47E61">
      <w:pPr>
        <w:spacing w:line="600" w:lineRule="exact"/>
        <w:rPr>
          <w:rFonts w:ascii="仿宋_GB2312" w:eastAsia="仿宋_GB2312"/>
          <w:b/>
          <w:color w:val="000000"/>
          <w:sz w:val="32"/>
          <w:szCs w:val="32"/>
        </w:rPr>
      </w:pPr>
    </w:p>
    <w:p w:rsidR="00E47E61" w:rsidRDefault="00E47E61">
      <w:pPr>
        <w:spacing w:line="600" w:lineRule="exact"/>
        <w:rPr>
          <w:rFonts w:ascii="仿宋_GB2312" w:eastAsia="仿宋_GB2312"/>
          <w:b/>
          <w:color w:val="000000"/>
          <w:sz w:val="32"/>
          <w:szCs w:val="32"/>
        </w:rPr>
      </w:pPr>
    </w:p>
    <w:p w:rsidR="00E47E61" w:rsidRDefault="00DD0F2B">
      <w:pPr>
        <w:spacing w:line="600" w:lineRule="exact"/>
        <w:ind w:firstLine="640"/>
        <w:rPr>
          <w:rFonts w:ascii="仿宋" w:eastAsia="仿宋" w:hAnsi="仿宋"/>
          <w:b/>
          <w:color w:val="000000"/>
          <w:sz w:val="32"/>
          <w:szCs w:val="32"/>
        </w:rPr>
      </w:pPr>
      <w:r>
        <w:rPr>
          <w:rFonts w:ascii="仿宋" w:eastAsia="仿宋" w:hAnsi="仿宋"/>
          <w:b/>
          <w:color w:val="000000"/>
          <w:sz w:val="32"/>
          <w:szCs w:val="32"/>
        </w:rPr>
        <w:t>1.</w:t>
      </w:r>
      <w:r>
        <w:rPr>
          <w:rFonts w:ascii="仿宋" w:eastAsia="仿宋" w:hAnsi="仿宋" w:hint="eastAsia"/>
          <w:b/>
          <w:color w:val="000000"/>
          <w:sz w:val="32"/>
          <w:szCs w:val="32"/>
        </w:rPr>
        <w:t>因公出国（境）经费支出</w:t>
      </w:r>
      <w:r>
        <w:rPr>
          <w:rFonts w:ascii="仿宋" w:eastAsia="仿宋" w:hAnsi="仿宋" w:hint="eastAsia"/>
          <w:color w:val="000000"/>
          <w:sz w:val="32"/>
          <w:szCs w:val="32"/>
        </w:rPr>
        <w:t>0</w:t>
      </w:r>
      <w:r>
        <w:rPr>
          <w:rFonts w:ascii="仿宋" w:eastAsia="仿宋" w:hAnsi="仿宋"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0.00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 w:eastAsia="仿宋" w:hAnsi="仿宋" w:hint="eastAsia"/>
          <w:color w:val="000000"/>
          <w:sz w:val="32"/>
          <w:szCs w:val="32"/>
        </w:rPr>
        <w:t>全年无因公出国（境）工作安排，无因公出国（境）人次。因公出国（境）支出决算与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年持平。</w:t>
      </w:r>
    </w:p>
    <w:p w:rsidR="00E47E61" w:rsidRDefault="00DD0F2B">
      <w:pPr>
        <w:spacing w:line="600" w:lineRule="exact"/>
        <w:ind w:firstLine="640"/>
        <w:rPr>
          <w:rFonts w:ascii="仿宋" w:eastAsia="仿宋" w:hAnsi="仿宋"/>
          <w:b/>
          <w:color w:val="000000"/>
          <w:sz w:val="32"/>
          <w:szCs w:val="32"/>
        </w:rPr>
      </w:pPr>
      <w:r>
        <w:rPr>
          <w:rFonts w:ascii="仿宋" w:eastAsia="仿宋" w:hAnsi="仿宋"/>
          <w:b/>
          <w:color w:val="000000"/>
          <w:sz w:val="32"/>
          <w:szCs w:val="32"/>
        </w:rPr>
        <w:t>2.</w:t>
      </w:r>
      <w:r>
        <w:rPr>
          <w:rFonts w:ascii="仿宋" w:eastAsia="仿宋" w:hAnsi="仿宋" w:hint="eastAsia"/>
          <w:b/>
          <w:color w:val="000000"/>
          <w:sz w:val="32"/>
          <w:szCs w:val="32"/>
        </w:rPr>
        <w:t>公务用车购置及运行维护费支出</w:t>
      </w:r>
      <w:r>
        <w:rPr>
          <w:rFonts w:ascii="仿宋" w:eastAsia="仿宋" w:hAnsi="仿宋" w:hint="eastAsia"/>
          <w:color w:val="000000"/>
          <w:sz w:val="32"/>
          <w:szCs w:val="32"/>
        </w:rPr>
        <w:t>118.16</w:t>
      </w:r>
      <w:r>
        <w:rPr>
          <w:rFonts w:ascii="仿宋" w:eastAsia="仿宋" w:hAnsi="仿宋" w:hint="eastAsia"/>
          <w:color w:val="000000"/>
          <w:sz w:val="32"/>
          <w:szCs w:val="32"/>
        </w:rPr>
        <w:t>万元</w:t>
      </w:r>
      <w:r>
        <w:rPr>
          <w:rFonts w:ascii="仿宋" w:eastAsia="仿宋" w:hAnsi="仿宋" w:hint="eastAsia"/>
          <w:color w:val="000000"/>
          <w:sz w:val="32"/>
          <w:szCs w:val="32"/>
        </w:rPr>
        <w:t>,</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 w:eastAsia="仿宋" w:hAnsi="仿宋" w:hint="eastAsia"/>
          <w:color w:val="000000"/>
          <w:sz w:val="32"/>
          <w:szCs w:val="32"/>
        </w:rPr>
        <w:t>公务用车购置及运行维护费支出决算比</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年增加</w:t>
      </w:r>
      <w:r>
        <w:rPr>
          <w:rFonts w:ascii="仿宋" w:eastAsia="仿宋" w:hAnsi="仿宋" w:hint="eastAsia"/>
          <w:color w:val="000000"/>
          <w:sz w:val="32"/>
          <w:szCs w:val="32"/>
        </w:rPr>
        <w:t>95.28</w:t>
      </w:r>
      <w:r>
        <w:rPr>
          <w:rFonts w:ascii="仿宋" w:eastAsia="仿宋" w:hAnsi="仿宋" w:hint="eastAsia"/>
          <w:color w:val="000000"/>
          <w:sz w:val="32"/>
          <w:szCs w:val="32"/>
        </w:rPr>
        <w:t>万元，增长</w:t>
      </w:r>
      <w:r>
        <w:rPr>
          <w:rFonts w:ascii="仿宋" w:eastAsia="仿宋" w:hAnsi="仿宋" w:hint="eastAsia"/>
          <w:color w:val="000000"/>
          <w:sz w:val="32"/>
          <w:szCs w:val="32"/>
        </w:rPr>
        <w:t>440.50</w:t>
      </w:r>
      <w:r>
        <w:rPr>
          <w:rFonts w:ascii="仿宋" w:eastAsia="仿宋" w:hAnsi="仿宋"/>
          <w:color w:val="000000"/>
          <w:sz w:val="32"/>
          <w:szCs w:val="32"/>
        </w:rPr>
        <w:t>%</w:t>
      </w:r>
      <w:r>
        <w:rPr>
          <w:rFonts w:ascii="仿宋" w:eastAsia="仿宋" w:hAnsi="仿宋" w:hint="eastAsia"/>
          <w:color w:val="000000"/>
          <w:sz w:val="32"/>
          <w:szCs w:val="32"/>
        </w:rPr>
        <w:t>。主要原因是新增</w:t>
      </w:r>
      <w:r>
        <w:rPr>
          <w:rFonts w:ascii="仿宋" w:eastAsia="仿宋" w:hAnsi="仿宋" w:hint="eastAsia"/>
          <w:color w:val="000000"/>
          <w:sz w:val="32"/>
          <w:szCs w:val="32"/>
        </w:rPr>
        <w:t>2</w:t>
      </w:r>
      <w:r>
        <w:rPr>
          <w:rFonts w:ascii="仿宋" w:eastAsia="仿宋" w:hAnsi="仿宋" w:hint="eastAsia"/>
          <w:color w:val="000000"/>
          <w:sz w:val="32"/>
          <w:szCs w:val="32"/>
        </w:rPr>
        <w:t>台执法执勤用车。</w:t>
      </w:r>
    </w:p>
    <w:p w:rsidR="00E47E61" w:rsidRDefault="00DD0F2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其中：</w:t>
      </w:r>
      <w:r>
        <w:rPr>
          <w:rFonts w:ascii="仿宋" w:eastAsia="仿宋" w:hAnsi="仿宋" w:hint="eastAsia"/>
          <w:b/>
          <w:color w:val="000000"/>
          <w:sz w:val="32"/>
          <w:szCs w:val="32"/>
        </w:rPr>
        <w:t>公务用车购置支出</w:t>
      </w:r>
      <w:r>
        <w:rPr>
          <w:rFonts w:ascii="仿宋" w:eastAsia="仿宋" w:hAnsi="仿宋" w:hint="eastAsia"/>
          <w:color w:val="000000"/>
          <w:sz w:val="32"/>
          <w:szCs w:val="32"/>
        </w:rPr>
        <w:t>54.34</w:t>
      </w:r>
      <w:r>
        <w:rPr>
          <w:rFonts w:ascii="仿宋" w:eastAsia="仿宋" w:hAnsi="仿宋" w:hint="eastAsia"/>
          <w:color w:val="000000"/>
          <w:sz w:val="32"/>
          <w:szCs w:val="32"/>
        </w:rPr>
        <w:t>万元。全年按规定更新购置公务用车</w:t>
      </w:r>
      <w:r>
        <w:rPr>
          <w:rFonts w:ascii="仿宋" w:eastAsia="仿宋" w:hAnsi="仿宋" w:hint="eastAsia"/>
          <w:color w:val="000000"/>
          <w:sz w:val="32"/>
          <w:szCs w:val="32"/>
        </w:rPr>
        <w:t>2</w:t>
      </w:r>
      <w:r>
        <w:rPr>
          <w:rFonts w:ascii="仿宋" w:eastAsia="仿宋" w:hAnsi="仿宋" w:hint="eastAsia"/>
          <w:color w:val="000000"/>
          <w:sz w:val="32"/>
          <w:szCs w:val="32"/>
        </w:rPr>
        <w:t>辆，金额</w:t>
      </w:r>
      <w:r>
        <w:rPr>
          <w:rFonts w:ascii="仿宋" w:eastAsia="仿宋" w:hAnsi="仿宋" w:hint="eastAsia"/>
          <w:color w:val="000000"/>
          <w:sz w:val="32"/>
          <w:szCs w:val="32"/>
        </w:rPr>
        <w:t>54.34</w:t>
      </w:r>
      <w:r>
        <w:rPr>
          <w:rFonts w:ascii="仿宋" w:eastAsia="仿宋" w:hAnsi="仿宋"/>
          <w:color w:val="000000"/>
          <w:sz w:val="32"/>
          <w:szCs w:val="32"/>
        </w:rPr>
        <w:t>元。</w:t>
      </w:r>
      <w:r>
        <w:rPr>
          <w:rFonts w:ascii="仿宋" w:eastAsia="仿宋" w:hAnsi="仿宋" w:hint="eastAsia"/>
          <w:color w:val="000000"/>
          <w:sz w:val="32"/>
          <w:szCs w:val="32"/>
        </w:rPr>
        <w:t>截至</w:t>
      </w: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w:t>
      </w:r>
      <w:r>
        <w:rPr>
          <w:rFonts w:ascii="仿宋" w:eastAsia="仿宋" w:hAnsi="仿宋"/>
          <w:color w:val="000000"/>
          <w:sz w:val="32"/>
          <w:szCs w:val="32"/>
        </w:rPr>
        <w:t>12</w:t>
      </w:r>
      <w:r>
        <w:rPr>
          <w:rFonts w:ascii="仿宋" w:eastAsia="仿宋" w:hAnsi="仿宋" w:hint="eastAsia"/>
          <w:color w:val="000000"/>
          <w:sz w:val="32"/>
          <w:szCs w:val="32"/>
        </w:rPr>
        <w:t>月底，单位共有公务用车</w:t>
      </w:r>
      <w:r>
        <w:rPr>
          <w:rFonts w:ascii="仿宋" w:eastAsia="仿宋" w:hAnsi="仿宋" w:hint="eastAsia"/>
          <w:color w:val="000000"/>
          <w:sz w:val="32"/>
          <w:szCs w:val="32"/>
        </w:rPr>
        <w:t>5</w:t>
      </w:r>
      <w:r>
        <w:rPr>
          <w:rFonts w:ascii="仿宋" w:eastAsia="仿宋" w:hAnsi="仿宋" w:hint="eastAsia"/>
          <w:color w:val="000000"/>
          <w:sz w:val="32"/>
          <w:szCs w:val="32"/>
        </w:rPr>
        <w:t>辆，其中：主要领导干部用车</w:t>
      </w:r>
      <w:r>
        <w:rPr>
          <w:rFonts w:ascii="仿宋" w:eastAsia="仿宋" w:hAnsi="仿宋" w:hint="eastAsia"/>
          <w:color w:val="000000"/>
          <w:sz w:val="32"/>
          <w:szCs w:val="32"/>
        </w:rPr>
        <w:t>0</w:t>
      </w:r>
      <w:r>
        <w:rPr>
          <w:rFonts w:ascii="仿宋" w:eastAsia="仿宋" w:hAnsi="仿宋" w:hint="eastAsia"/>
          <w:color w:val="000000"/>
          <w:sz w:val="32"/>
          <w:szCs w:val="32"/>
        </w:rPr>
        <w:t>辆、机要通信用车</w:t>
      </w:r>
      <w:r>
        <w:rPr>
          <w:rFonts w:ascii="仿宋" w:eastAsia="仿宋" w:hAnsi="仿宋" w:hint="eastAsia"/>
          <w:color w:val="000000"/>
          <w:sz w:val="32"/>
          <w:szCs w:val="32"/>
        </w:rPr>
        <w:t>0</w:t>
      </w:r>
      <w:r>
        <w:rPr>
          <w:rFonts w:ascii="仿宋" w:eastAsia="仿宋" w:hAnsi="仿宋" w:hint="eastAsia"/>
          <w:color w:val="000000"/>
          <w:sz w:val="32"/>
          <w:szCs w:val="32"/>
        </w:rPr>
        <w:t>辆、应急保障用车</w:t>
      </w:r>
      <w:r>
        <w:rPr>
          <w:rFonts w:ascii="仿宋" w:eastAsia="仿宋" w:hAnsi="仿宋" w:hint="eastAsia"/>
          <w:color w:val="000000"/>
          <w:sz w:val="32"/>
          <w:szCs w:val="32"/>
        </w:rPr>
        <w:t>0</w:t>
      </w:r>
      <w:r>
        <w:rPr>
          <w:rFonts w:ascii="仿宋" w:eastAsia="仿宋" w:hAnsi="仿宋" w:hint="eastAsia"/>
          <w:color w:val="000000"/>
          <w:sz w:val="32"/>
          <w:szCs w:val="32"/>
        </w:rPr>
        <w:t>辆、执法执勤用车</w:t>
      </w:r>
      <w:r>
        <w:rPr>
          <w:rFonts w:ascii="仿宋" w:eastAsia="仿宋" w:hAnsi="仿宋" w:hint="eastAsia"/>
          <w:color w:val="000000"/>
          <w:sz w:val="32"/>
          <w:szCs w:val="32"/>
        </w:rPr>
        <w:t>5</w:t>
      </w:r>
      <w:r>
        <w:rPr>
          <w:rFonts w:ascii="仿宋" w:eastAsia="仿宋" w:hAnsi="仿宋" w:hint="eastAsia"/>
          <w:color w:val="000000"/>
          <w:sz w:val="32"/>
          <w:szCs w:val="32"/>
        </w:rPr>
        <w:t>辆。</w:t>
      </w:r>
    </w:p>
    <w:p w:rsidR="00E47E61" w:rsidRDefault="00DD0F2B">
      <w:pPr>
        <w:spacing w:line="600" w:lineRule="exact"/>
        <w:ind w:firstLine="640"/>
        <w:rPr>
          <w:rFonts w:ascii="仿宋" w:eastAsia="仿宋" w:hAnsi="仿宋"/>
          <w:color w:val="000000"/>
          <w:sz w:val="32"/>
          <w:szCs w:val="32"/>
        </w:rPr>
      </w:pPr>
      <w:r>
        <w:rPr>
          <w:rFonts w:ascii="仿宋" w:eastAsia="仿宋" w:hAnsi="仿宋" w:hint="eastAsia"/>
          <w:b/>
          <w:color w:val="000000"/>
          <w:sz w:val="32"/>
          <w:szCs w:val="32"/>
        </w:rPr>
        <w:t>公务用车运行维护费支出</w:t>
      </w:r>
      <w:r>
        <w:rPr>
          <w:rFonts w:ascii="仿宋" w:eastAsia="仿宋" w:hAnsi="仿宋" w:hint="eastAsia"/>
          <w:color w:val="000000"/>
          <w:sz w:val="32"/>
          <w:szCs w:val="32"/>
        </w:rPr>
        <w:t>62.57</w:t>
      </w:r>
      <w:r>
        <w:rPr>
          <w:rFonts w:ascii="仿宋" w:eastAsia="仿宋" w:hAnsi="仿宋" w:hint="eastAsia"/>
          <w:color w:val="000000"/>
          <w:sz w:val="32"/>
          <w:szCs w:val="32"/>
        </w:rPr>
        <w:t>万元。主要用于党风廉政建设、审查调查、监督检查、脱贫攻坚等工作所需的公务用车燃料费、维修费、过路过桥费、保险费等支出。</w:t>
      </w:r>
    </w:p>
    <w:p w:rsidR="00E47E61" w:rsidRDefault="00DD0F2B">
      <w:pPr>
        <w:spacing w:line="600" w:lineRule="exact"/>
        <w:ind w:firstLine="640"/>
        <w:rPr>
          <w:rFonts w:ascii="仿宋" w:eastAsia="仿宋" w:hAnsi="仿宋"/>
          <w:color w:val="000000"/>
          <w:sz w:val="32"/>
          <w:szCs w:val="32"/>
        </w:rPr>
      </w:pPr>
      <w:r>
        <w:rPr>
          <w:rFonts w:ascii="仿宋" w:eastAsia="仿宋" w:hAnsi="仿宋"/>
          <w:b/>
          <w:color w:val="000000"/>
          <w:sz w:val="32"/>
          <w:szCs w:val="32"/>
        </w:rPr>
        <w:t>3.</w:t>
      </w:r>
      <w:r>
        <w:rPr>
          <w:rFonts w:ascii="仿宋" w:eastAsia="仿宋" w:hAnsi="仿宋" w:hint="eastAsia"/>
          <w:b/>
          <w:color w:val="000000"/>
          <w:sz w:val="32"/>
          <w:szCs w:val="32"/>
        </w:rPr>
        <w:t>公务接待费支出</w:t>
      </w:r>
      <w:r>
        <w:rPr>
          <w:rFonts w:ascii="仿宋" w:eastAsia="仿宋" w:hAnsi="仿宋" w:hint="eastAsia"/>
          <w:color w:val="000000"/>
          <w:sz w:val="32"/>
          <w:szCs w:val="32"/>
        </w:rPr>
        <w:t>1.25</w:t>
      </w:r>
      <w:r>
        <w:rPr>
          <w:rFonts w:ascii="仿宋" w:eastAsia="仿宋" w:hAnsi="仿宋"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 w:eastAsia="仿宋" w:hAnsi="仿宋" w:hint="eastAsia"/>
          <w:color w:val="000000"/>
          <w:sz w:val="32"/>
          <w:szCs w:val="32"/>
        </w:rPr>
        <w:t>公务接待费支出决算比</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年增加</w:t>
      </w:r>
      <w:r>
        <w:rPr>
          <w:rFonts w:ascii="仿宋" w:eastAsia="仿宋" w:hAnsi="仿宋" w:hint="eastAsia"/>
          <w:color w:val="000000"/>
          <w:sz w:val="32"/>
          <w:szCs w:val="32"/>
        </w:rPr>
        <w:t>0.38</w:t>
      </w:r>
      <w:r>
        <w:rPr>
          <w:rFonts w:ascii="仿宋" w:eastAsia="仿宋" w:hAnsi="仿宋" w:hint="eastAsia"/>
          <w:color w:val="000000"/>
          <w:sz w:val="32"/>
          <w:szCs w:val="32"/>
        </w:rPr>
        <w:t>万元，增长</w:t>
      </w:r>
      <w:r>
        <w:rPr>
          <w:rFonts w:ascii="仿宋" w:eastAsia="仿宋" w:hAnsi="仿宋" w:hint="eastAsia"/>
          <w:color w:val="000000"/>
          <w:sz w:val="32"/>
          <w:szCs w:val="32"/>
        </w:rPr>
        <w:t>43.68</w:t>
      </w:r>
      <w:r>
        <w:rPr>
          <w:rFonts w:ascii="仿宋" w:eastAsia="仿宋" w:hAnsi="仿宋"/>
          <w:color w:val="000000"/>
          <w:sz w:val="32"/>
          <w:szCs w:val="32"/>
        </w:rPr>
        <w:t>%</w:t>
      </w:r>
      <w:r>
        <w:rPr>
          <w:rFonts w:ascii="仿宋" w:eastAsia="仿宋" w:hAnsi="仿宋" w:hint="eastAsia"/>
          <w:color w:val="000000"/>
          <w:sz w:val="32"/>
          <w:szCs w:val="32"/>
        </w:rPr>
        <w:t>。主要原因是市纪委加大了对我县开展调研、监督检查工作力度，其中：</w:t>
      </w:r>
    </w:p>
    <w:p w:rsidR="00E47E61" w:rsidRDefault="00DD0F2B">
      <w:pPr>
        <w:spacing w:line="600" w:lineRule="exact"/>
        <w:ind w:firstLine="640"/>
        <w:rPr>
          <w:rFonts w:ascii="仿宋" w:eastAsia="仿宋" w:hAnsi="仿宋"/>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1.25</w:t>
      </w:r>
      <w:r>
        <w:rPr>
          <w:rFonts w:ascii="仿宋" w:eastAsia="仿宋" w:hAnsi="仿宋" w:hint="eastAsia"/>
          <w:color w:val="000000"/>
          <w:sz w:val="32"/>
          <w:szCs w:val="32"/>
        </w:rPr>
        <w:t>万元，主要用于</w:t>
      </w:r>
      <w:r>
        <w:rPr>
          <w:rFonts w:ascii="仿宋" w:eastAsia="仿宋" w:hAnsi="仿宋" w:hint="eastAsia"/>
          <w:sz w:val="32"/>
          <w:szCs w:val="32"/>
        </w:rPr>
        <w:t>执行公务、开展业务活动开支的交通费、住宿费、用餐费等</w:t>
      </w:r>
      <w:r>
        <w:rPr>
          <w:rFonts w:ascii="仿宋" w:eastAsia="仿宋" w:hAnsi="仿宋" w:hint="eastAsia"/>
          <w:color w:val="000000"/>
          <w:sz w:val="32"/>
          <w:szCs w:val="32"/>
        </w:rPr>
        <w:t>。国内公务接待</w:t>
      </w:r>
      <w:r>
        <w:rPr>
          <w:rFonts w:ascii="仿宋" w:eastAsia="仿宋" w:hAnsi="仿宋" w:hint="eastAsia"/>
          <w:color w:val="000000"/>
          <w:sz w:val="32"/>
          <w:szCs w:val="32"/>
        </w:rPr>
        <w:t>32</w:t>
      </w:r>
      <w:r>
        <w:rPr>
          <w:rFonts w:ascii="仿宋" w:eastAsia="仿宋" w:hAnsi="仿宋" w:hint="eastAsia"/>
          <w:color w:val="000000"/>
          <w:sz w:val="32"/>
          <w:szCs w:val="32"/>
        </w:rPr>
        <w:t>批次，</w:t>
      </w:r>
      <w:r>
        <w:rPr>
          <w:rFonts w:ascii="仿宋" w:eastAsia="仿宋" w:hAnsi="仿宋" w:hint="eastAsia"/>
          <w:color w:val="000000"/>
          <w:sz w:val="32"/>
          <w:szCs w:val="32"/>
        </w:rPr>
        <w:t>122</w:t>
      </w:r>
      <w:r>
        <w:rPr>
          <w:rFonts w:ascii="仿宋" w:eastAsia="仿宋" w:hAnsi="仿宋" w:hint="eastAsia"/>
          <w:color w:val="000000"/>
          <w:sz w:val="32"/>
          <w:szCs w:val="32"/>
        </w:rPr>
        <w:t>人次（不包括陪同人员），共计支出</w:t>
      </w:r>
      <w:r>
        <w:rPr>
          <w:rFonts w:ascii="仿宋" w:eastAsia="仿宋" w:hAnsi="仿宋" w:hint="eastAsia"/>
          <w:color w:val="000000"/>
          <w:sz w:val="32"/>
          <w:szCs w:val="32"/>
        </w:rPr>
        <w:t>1.25</w:t>
      </w:r>
      <w:r>
        <w:rPr>
          <w:rFonts w:ascii="仿宋" w:eastAsia="仿宋" w:hAnsi="仿宋" w:hint="eastAsia"/>
          <w:color w:val="000000"/>
          <w:sz w:val="32"/>
          <w:szCs w:val="32"/>
        </w:rPr>
        <w:t>万元，具体内容包括：市纪委到我县开展调研、监督检查工作和兄弟县纪委到我县开展调研工作。</w:t>
      </w:r>
    </w:p>
    <w:p w:rsidR="00E47E61" w:rsidRDefault="00DD0F2B">
      <w:pPr>
        <w:spacing w:line="600" w:lineRule="exact"/>
        <w:ind w:firstLineChars="200" w:firstLine="643"/>
        <w:rPr>
          <w:rFonts w:ascii="仿宋" w:eastAsia="仿宋" w:hAnsi="仿宋"/>
          <w:color w:val="000000" w:themeColor="text1"/>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 w:eastAsia="仿宋" w:hAnsi="仿宋" w:hint="eastAsia"/>
          <w:color w:val="000000"/>
          <w:sz w:val="32"/>
          <w:szCs w:val="32"/>
        </w:rPr>
        <w:t>万元</w:t>
      </w:r>
      <w:r>
        <w:rPr>
          <w:rFonts w:ascii="仿宋" w:eastAsia="仿宋" w:hAnsi="仿宋" w:hint="eastAsia"/>
          <w:color w:val="000000" w:themeColor="text1"/>
          <w:sz w:val="32"/>
          <w:szCs w:val="32"/>
        </w:rPr>
        <w:t>，全年无外事接待任务。</w:t>
      </w:r>
      <w:bookmarkStart w:id="46" w:name="_Toc15377218"/>
      <w:bookmarkStart w:id="47" w:name="_Toc15396610"/>
    </w:p>
    <w:p w:rsidR="00E47E61" w:rsidRDefault="00DD0F2B">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E47E61" w:rsidRDefault="00DD0F2B">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年政府性基金预算拨款支出</w:t>
      </w:r>
      <w:r>
        <w:rPr>
          <w:rFonts w:ascii="仿宋" w:eastAsia="仿宋" w:hAnsi="仿宋" w:hint="eastAsia"/>
          <w:color w:val="000000"/>
          <w:sz w:val="32"/>
          <w:szCs w:val="32"/>
        </w:rPr>
        <w:t>0</w:t>
      </w:r>
      <w:r>
        <w:rPr>
          <w:rFonts w:ascii="仿宋" w:eastAsia="仿宋" w:hAnsi="仿宋" w:hint="eastAsia"/>
          <w:color w:val="000000"/>
          <w:sz w:val="32"/>
          <w:szCs w:val="32"/>
        </w:rPr>
        <w:t>万元。本部门没有政府性基金拨款收入，也没有使用政府性基金安排的支出。</w:t>
      </w:r>
    </w:p>
    <w:p w:rsidR="00E47E61" w:rsidRDefault="00DD0F2B">
      <w:pPr>
        <w:numPr>
          <w:ilvl w:val="0"/>
          <w:numId w:val="2"/>
        </w:numPr>
        <w:spacing w:line="600" w:lineRule="exact"/>
        <w:ind w:firstLine="640"/>
        <w:outlineLvl w:val="1"/>
        <w:rPr>
          <w:rStyle w:val="2Char"/>
          <w:rFonts w:ascii="黑体" w:eastAsia="黑体" w:hAnsi="黑体"/>
          <w:b w:val="0"/>
        </w:rPr>
      </w:pPr>
      <w:bookmarkStart w:id="48" w:name="_Toc15396611"/>
      <w:bookmarkStart w:id="49" w:name="_Toc15377219"/>
      <w:r>
        <w:rPr>
          <w:rStyle w:val="2Char"/>
          <w:rFonts w:ascii="黑体" w:eastAsia="黑体" w:hAnsi="黑体" w:hint="eastAsia"/>
          <w:b w:val="0"/>
        </w:rPr>
        <w:t>国有资本经营预算支出决算情况说明</w:t>
      </w:r>
      <w:bookmarkEnd w:id="48"/>
      <w:bookmarkEnd w:id="49"/>
    </w:p>
    <w:p w:rsidR="00E47E61" w:rsidRDefault="00DD0F2B">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年国有资本经营预算拨款支出</w:t>
      </w:r>
      <w:r>
        <w:rPr>
          <w:rFonts w:ascii="仿宋" w:eastAsia="仿宋" w:hAnsi="仿宋" w:hint="eastAsia"/>
          <w:color w:val="000000"/>
          <w:sz w:val="32"/>
          <w:szCs w:val="32"/>
        </w:rPr>
        <w:t>0</w:t>
      </w:r>
      <w:r>
        <w:rPr>
          <w:rFonts w:ascii="仿宋" w:eastAsia="仿宋" w:hAnsi="仿宋" w:hint="eastAsia"/>
          <w:color w:val="000000"/>
          <w:sz w:val="32"/>
          <w:szCs w:val="32"/>
        </w:rPr>
        <w:t>万元。本部门没有使用国有资本经营预算拨款安排的支出</w:t>
      </w:r>
      <w:r>
        <w:rPr>
          <w:rFonts w:ascii="仿宋" w:eastAsia="仿宋" w:hAnsi="仿宋" w:hint="eastAsia"/>
          <w:color w:val="000000"/>
          <w:sz w:val="32"/>
          <w:szCs w:val="32"/>
        </w:rPr>
        <w:t>。</w:t>
      </w:r>
    </w:p>
    <w:p w:rsidR="00E47E61" w:rsidRDefault="00DD0F2B">
      <w:pPr>
        <w:spacing w:line="600" w:lineRule="exact"/>
        <w:ind w:firstLineChars="250" w:firstLine="800"/>
        <w:outlineLvl w:val="1"/>
        <w:rPr>
          <w:rStyle w:val="2Char"/>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0"/>
      <w:bookmarkEnd w:id="51"/>
    </w:p>
    <w:p w:rsidR="00E47E61" w:rsidRDefault="00DD0F2B">
      <w:pPr>
        <w:spacing w:line="600" w:lineRule="exact"/>
        <w:ind w:firstLineChars="200" w:firstLine="643"/>
        <w:outlineLvl w:val="2"/>
        <w:rPr>
          <w:rFonts w:ascii="楷体" w:eastAsia="楷体" w:hAnsi="楷体"/>
          <w:b/>
          <w:color w:val="000000"/>
          <w:sz w:val="32"/>
          <w:szCs w:val="32"/>
        </w:rPr>
      </w:pPr>
      <w:bookmarkStart w:id="52" w:name="_Toc15377222"/>
      <w:r>
        <w:rPr>
          <w:rFonts w:ascii="楷体" w:eastAsia="楷体" w:hAnsi="楷体" w:hint="eastAsia"/>
          <w:b/>
          <w:color w:val="000000"/>
          <w:sz w:val="32"/>
          <w:szCs w:val="32"/>
        </w:rPr>
        <w:t>（一）机关运行经费支出情况</w:t>
      </w:r>
      <w:bookmarkEnd w:id="52"/>
    </w:p>
    <w:p w:rsidR="00E47E61" w:rsidRDefault="00DD0F2B">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年，本部门机关运行经费支出</w:t>
      </w:r>
      <w:r>
        <w:rPr>
          <w:rFonts w:ascii="仿宋" w:eastAsia="仿宋" w:hAnsi="仿宋" w:hint="eastAsia"/>
          <w:color w:val="000000"/>
          <w:sz w:val="32"/>
          <w:szCs w:val="32"/>
        </w:rPr>
        <w:t>177.52</w:t>
      </w:r>
      <w:r>
        <w:rPr>
          <w:rFonts w:ascii="仿宋" w:eastAsia="仿宋" w:hAnsi="仿宋" w:hint="eastAsia"/>
          <w:color w:val="000000"/>
          <w:sz w:val="32"/>
          <w:szCs w:val="32"/>
        </w:rPr>
        <w:t>万元，比</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年增加</w:t>
      </w:r>
      <w:r>
        <w:rPr>
          <w:rFonts w:ascii="仿宋" w:eastAsia="仿宋" w:hAnsi="仿宋" w:hint="eastAsia"/>
          <w:color w:val="000000"/>
          <w:sz w:val="32"/>
          <w:szCs w:val="32"/>
        </w:rPr>
        <w:t>62.55</w:t>
      </w:r>
      <w:r>
        <w:rPr>
          <w:rFonts w:ascii="仿宋" w:eastAsia="仿宋" w:hAnsi="仿宋" w:hint="eastAsia"/>
          <w:color w:val="000000"/>
          <w:sz w:val="32"/>
          <w:szCs w:val="32"/>
        </w:rPr>
        <w:t>万元，增长</w:t>
      </w:r>
      <w:r>
        <w:rPr>
          <w:rFonts w:ascii="仿宋" w:eastAsia="仿宋" w:hAnsi="仿宋" w:hint="eastAsia"/>
          <w:color w:val="000000"/>
          <w:sz w:val="32"/>
          <w:szCs w:val="32"/>
        </w:rPr>
        <w:t>54.41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主要原因是新增</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台执法执勤用车。</w:t>
      </w:r>
    </w:p>
    <w:p w:rsidR="00E47E61" w:rsidRDefault="00DD0F2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楷体" w:eastAsia="楷体" w:hAnsi="楷体" w:hint="eastAsia"/>
          <w:b/>
          <w:color w:val="000000"/>
          <w:sz w:val="32"/>
          <w:szCs w:val="32"/>
        </w:rPr>
        <w:t>（二）政府采购支出情况</w:t>
      </w:r>
      <w:bookmarkEnd w:id="53"/>
    </w:p>
    <w:p w:rsidR="00E47E61" w:rsidRDefault="00DD0F2B">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年，本部门政府采购支出总额</w:t>
      </w:r>
      <w:r>
        <w:rPr>
          <w:rFonts w:ascii="仿宋" w:eastAsia="仿宋" w:hAnsi="仿宋" w:hint="eastAsia"/>
          <w:color w:val="000000"/>
          <w:sz w:val="32"/>
          <w:szCs w:val="32"/>
        </w:rPr>
        <w:t>54.34</w:t>
      </w:r>
      <w:r>
        <w:rPr>
          <w:rFonts w:ascii="仿宋" w:eastAsia="仿宋" w:hAnsi="仿宋" w:hint="eastAsia"/>
          <w:color w:val="000000"/>
          <w:sz w:val="32"/>
          <w:szCs w:val="32"/>
        </w:rPr>
        <w:t>万元，其中：政府采购货物支出</w:t>
      </w:r>
      <w:r>
        <w:rPr>
          <w:rFonts w:ascii="仿宋" w:eastAsia="仿宋" w:hAnsi="仿宋" w:hint="eastAsia"/>
          <w:color w:val="000000"/>
          <w:sz w:val="32"/>
          <w:szCs w:val="32"/>
        </w:rPr>
        <w:t>54.34</w:t>
      </w:r>
      <w:r>
        <w:rPr>
          <w:rFonts w:ascii="仿宋" w:eastAsia="仿宋" w:hAnsi="仿宋" w:hint="eastAsia"/>
          <w:color w:val="000000"/>
          <w:sz w:val="32"/>
          <w:szCs w:val="32"/>
        </w:rPr>
        <w:t>万元、政府采购工程支出</w:t>
      </w:r>
      <w:r>
        <w:rPr>
          <w:rFonts w:ascii="仿宋" w:eastAsia="仿宋" w:hAnsi="仿宋" w:hint="eastAsia"/>
          <w:color w:val="000000"/>
          <w:sz w:val="32"/>
          <w:szCs w:val="32"/>
        </w:rPr>
        <w:t>0</w:t>
      </w:r>
      <w:r>
        <w:rPr>
          <w:rFonts w:ascii="仿宋" w:eastAsia="仿宋" w:hAnsi="仿宋" w:hint="eastAsia"/>
          <w:color w:val="000000"/>
          <w:sz w:val="32"/>
          <w:szCs w:val="32"/>
        </w:rPr>
        <w:t>万元、政府采购服务支出</w:t>
      </w:r>
      <w:r>
        <w:rPr>
          <w:rFonts w:ascii="仿宋" w:eastAsia="仿宋" w:hAnsi="仿宋" w:hint="eastAsia"/>
          <w:color w:val="000000"/>
          <w:sz w:val="32"/>
          <w:szCs w:val="32"/>
        </w:rPr>
        <w:t>0</w:t>
      </w:r>
      <w:r>
        <w:rPr>
          <w:rFonts w:ascii="仿宋" w:eastAsia="仿宋" w:hAnsi="仿宋" w:hint="eastAsia"/>
          <w:color w:val="000000"/>
          <w:sz w:val="32"/>
          <w:szCs w:val="32"/>
        </w:rPr>
        <w:t>万元。主要用于采购</w:t>
      </w:r>
      <w:r>
        <w:rPr>
          <w:rFonts w:ascii="仿宋" w:eastAsia="仿宋" w:hAnsi="仿宋" w:hint="eastAsia"/>
          <w:color w:val="000000"/>
          <w:sz w:val="32"/>
          <w:szCs w:val="32"/>
        </w:rPr>
        <w:t>2</w:t>
      </w:r>
      <w:r>
        <w:rPr>
          <w:rFonts w:ascii="仿宋" w:eastAsia="仿宋" w:hAnsi="仿宋" w:hint="eastAsia"/>
          <w:color w:val="000000"/>
          <w:sz w:val="32"/>
          <w:szCs w:val="32"/>
        </w:rPr>
        <w:t>台执法执勤用车。授予中小企业合同金额</w:t>
      </w:r>
      <w:r>
        <w:rPr>
          <w:rFonts w:ascii="仿宋" w:eastAsia="仿宋" w:hAnsi="仿宋" w:hint="eastAsia"/>
          <w:color w:val="000000"/>
          <w:sz w:val="32"/>
          <w:szCs w:val="32"/>
        </w:rPr>
        <w:t>0</w:t>
      </w:r>
      <w:r>
        <w:rPr>
          <w:rFonts w:ascii="仿宋" w:eastAsia="仿宋" w:hAnsi="仿宋" w:hint="eastAsia"/>
          <w:color w:val="000000"/>
          <w:sz w:val="32"/>
          <w:szCs w:val="32"/>
        </w:rPr>
        <w:t>万元，占政府采购支出总额的</w:t>
      </w:r>
      <w:r>
        <w:rPr>
          <w:rFonts w:ascii="仿宋" w:eastAsia="仿宋" w:hAnsi="仿宋" w:hint="eastAsia"/>
          <w:color w:val="000000"/>
          <w:sz w:val="32"/>
          <w:szCs w:val="32"/>
        </w:rPr>
        <w:t>0.00</w:t>
      </w:r>
      <w:r>
        <w:rPr>
          <w:rFonts w:ascii="仿宋" w:eastAsia="仿宋" w:hAnsi="仿宋"/>
          <w:color w:val="000000"/>
          <w:sz w:val="32"/>
          <w:szCs w:val="32"/>
        </w:rPr>
        <w:t>%</w:t>
      </w:r>
      <w:r>
        <w:rPr>
          <w:rFonts w:ascii="仿宋" w:eastAsia="仿宋" w:hAnsi="仿宋" w:hint="eastAsia"/>
          <w:color w:val="000000"/>
          <w:sz w:val="32"/>
          <w:szCs w:val="32"/>
        </w:rPr>
        <w:t>，其中：授予小微企业合同金额</w:t>
      </w:r>
      <w:r>
        <w:rPr>
          <w:rFonts w:ascii="仿宋" w:eastAsia="仿宋" w:hAnsi="仿宋" w:hint="eastAsia"/>
          <w:color w:val="000000"/>
          <w:sz w:val="32"/>
          <w:szCs w:val="32"/>
        </w:rPr>
        <w:t>0</w:t>
      </w:r>
      <w:r>
        <w:rPr>
          <w:rFonts w:ascii="仿宋" w:eastAsia="仿宋" w:hAnsi="仿宋" w:hint="eastAsia"/>
          <w:color w:val="000000"/>
          <w:sz w:val="32"/>
          <w:szCs w:val="32"/>
        </w:rPr>
        <w:t>万元，占政府采购支出总额的</w:t>
      </w:r>
      <w:r>
        <w:rPr>
          <w:rFonts w:ascii="仿宋" w:eastAsia="仿宋" w:hAnsi="仿宋" w:hint="eastAsia"/>
          <w:color w:val="000000"/>
          <w:sz w:val="32"/>
          <w:szCs w:val="32"/>
        </w:rPr>
        <w:t>0.00</w:t>
      </w:r>
      <w:r>
        <w:rPr>
          <w:rFonts w:ascii="仿宋" w:eastAsia="仿宋" w:hAnsi="仿宋"/>
          <w:color w:val="000000"/>
          <w:sz w:val="32"/>
          <w:szCs w:val="32"/>
        </w:rPr>
        <w:t>%</w:t>
      </w:r>
      <w:r>
        <w:rPr>
          <w:rFonts w:ascii="仿宋" w:eastAsia="仿宋" w:hAnsi="仿宋" w:hint="eastAsia"/>
          <w:color w:val="000000"/>
          <w:sz w:val="32"/>
          <w:szCs w:val="32"/>
        </w:rPr>
        <w:t>。</w:t>
      </w:r>
    </w:p>
    <w:p w:rsidR="00E47E61" w:rsidRDefault="00DD0F2B">
      <w:pPr>
        <w:autoSpaceDE w:val="0"/>
        <w:autoSpaceDN w:val="0"/>
        <w:adjustRightInd w:val="0"/>
        <w:spacing w:line="600" w:lineRule="exact"/>
        <w:ind w:firstLineChars="200" w:firstLine="643"/>
        <w:jc w:val="left"/>
        <w:outlineLvl w:val="2"/>
        <w:rPr>
          <w:rFonts w:ascii="楷体" w:eastAsia="楷体" w:hAnsi="楷体"/>
          <w:b/>
          <w:color w:val="000000"/>
          <w:sz w:val="32"/>
          <w:szCs w:val="32"/>
        </w:rPr>
      </w:pPr>
      <w:bookmarkStart w:id="54" w:name="_Toc15377224"/>
      <w:r>
        <w:rPr>
          <w:rFonts w:ascii="楷体" w:eastAsia="楷体" w:hAnsi="楷体" w:hint="eastAsia"/>
          <w:b/>
          <w:color w:val="000000"/>
          <w:sz w:val="32"/>
          <w:szCs w:val="32"/>
        </w:rPr>
        <w:t>（三）国有资产占有使用情况</w:t>
      </w:r>
      <w:bookmarkEnd w:id="54"/>
    </w:p>
    <w:p w:rsidR="00E47E61" w:rsidRDefault="00DD0F2B">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 w:eastAsia="仿宋" w:hAnsi="仿宋" w:hint="eastAsia"/>
          <w:color w:val="000000"/>
          <w:sz w:val="32"/>
          <w:szCs w:val="32"/>
        </w:rPr>
        <w:t>截至</w:t>
      </w: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w:t>
      </w:r>
      <w:r>
        <w:rPr>
          <w:rFonts w:ascii="仿宋" w:eastAsia="仿宋" w:hAnsi="仿宋"/>
          <w:color w:val="000000"/>
          <w:sz w:val="32"/>
          <w:szCs w:val="32"/>
        </w:rPr>
        <w:t>12</w:t>
      </w:r>
      <w:r>
        <w:rPr>
          <w:rFonts w:ascii="仿宋" w:eastAsia="仿宋" w:hAnsi="仿宋" w:hint="eastAsia"/>
          <w:color w:val="000000"/>
          <w:sz w:val="32"/>
          <w:szCs w:val="32"/>
        </w:rPr>
        <w:t>月</w:t>
      </w:r>
      <w:r>
        <w:rPr>
          <w:rFonts w:ascii="仿宋" w:eastAsia="仿宋" w:hAnsi="仿宋"/>
          <w:color w:val="000000"/>
          <w:sz w:val="32"/>
          <w:szCs w:val="32"/>
        </w:rPr>
        <w:t>31</w:t>
      </w:r>
      <w:r>
        <w:rPr>
          <w:rFonts w:ascii="仿宋" w:eastAsia="仿宋" w:hAnsi="仿宋" w:hint="eastAsia"/>
          <w:color w:val="000000"/>
          <w:sz w:val="32"/>
          <w:szCs w:val="32"/>
        </w:rPr>
        <w:t>日，本部门共有车辆</w:t>
      </w:r>
      <w:r>
        <w:rPr>
          <w:rFonts w:ascii="仿宋" w:eastAsia="仿宋" w:hAnsi="仿宋" w:hint="eastAsia"/>
          <w:color w:val="000000"/>
          <w:sz w:val="32"/>
          <w:szCs w:val="32"/>
        </w:rPr>
        <w:t>5</w:t>
      </w:r>
      <w:r>
        <w:rPr>
          <w:rFonts w:ascii="仿宋" w:eastAsia="仿宋" w:hAnsi="仿宋" w:hint="eastAsia"/>
          <w:color w:val="000000"/>
          <w:sz w:val="32"/>
          <w:szCs w:val="32"/>
        </w:rPr>
        <w:t>辆，其中：主要领导干部用车</w:t>
      </w:r>
      <w:r>
        <w:rPr>
          <w:rFonts w:ascii="仿宋" w:eastAsia="仿宋" w:hAnsi="仿宋" w:hint="eastAsia"/>
          <w:color w:val="000000"/>
          <w:sz w:val="32"/>
          <w:szCs w:val="32"/>
        </w:rPr>
        <w:t>0</w:t>
      </w:r>
      <w:r>
        <w:rPr>
          <w:rFonts w:ascii="仿宋" w:eastAsia="仿宋" w:hAnsi="仿宋" w:hint="eastAsia"/>
          <w:color w:val="000000"/>
          <w:sz w:val="32"/>
          <w:szCs w:val="32"/>
        </w:rPr>
        <w:t>辆、机要通信用车</w:t>
      </w:r>
      <w:r>
        <w:rPr>
          <w:rFonts w:ascii="仿宋" w:eastAsia="仿宋" w:hAnsi="仿宋" w:hint="eastAsia"/>
          <w:color w:val="000000"/>
          <w:sz w:val="32"/>
          <w:szCs w:val="32"/>
        </w:rPr>
        <w:t>0</w:t>
      </w:r>
      <w:r>
        <w:rPr>
          <w:rFonts w:ascii="仿宋" w:eastAsia="仿宋" w:hAnsi="仿宋" w:hint="eastAsia"/>
          <w:color w:val="000000"/>
          <w:sz w:val="32"/>
          <w:szCs w:val="32"/>
        </w:rPr>
        <w:t>辆、应急保障用车</w:t>
      </w:r>
      <w:r>
        <w:rPr>
          <w:rFonts w:ascii="仿宋" w:eastAsia="仿宋" w:hAnsi="仿宋" w:hint="eastAsia"/>
          <w:color w:val="000000"/>
          <w:sz w:val="32"/>
          <w:szCs w:val="32"/>
        </w:rPr>
        <w:t>0</w:t>
      </w:r>
      <w:r>
        <w:rPr>
          <w:rFonts w:ascii="仿宋" w:eastAsia="仿宋" w:hAnsi="仿宋" w:hint="eastAsia"/>
          <w:color w:val="000000"/>
          <w:sz w:val="32"/>
          <w:szCs w:val="32"/>
        </w:rPr>
        <w:t>辆、执法执勤用车</w:t>
      </w:r>
      <w:r>
        <w:rPr>
          <w:rFonts w:ascii="仿宋" w:eastAsia="仿宋" w:hAnsi="仿宋" w:hint="eastAsia"/>
          <w:color w:val="000000"/>
          <w:sz w:val="32"/>
          <w:szCs w:val="32"/>
        </w:rPr>
        <w:t>5</w:t>
      </w:r>
      <w:r>
        <w:rPr>
          <w:rFonts w:ascii="仿宋" w:eastAsia="仿宋" w:hAnsi="仿宋" w:hint="eastAsia"/>
          <w:color w:val="000000"/>
          <w:sz w:val="32"/>
          <w:szCs w:val="32"/>
        </w:rPr>
        <w:t>，其他用车</w:t>
      </w:r>
      <w:r>
        <w:rPr>
          <w:rFonts w:ascii="仿宋" w:eastAsia="仿宋" w:hAnsi="仿宋" w:hint="eastAsia"/>
          <w:color w:val="000000"/>
          <w:sz w:val="32"/>
          <w:szCs w:val="32"/>
        </w:rPr>
        <w:t>0</w:t>
      </w:r>
      <w:r>
        <w:rPr>
          <w:rFonts w:ascii="仿宋" w:eastAsia="仿宋" w:hAnsi="仿宋" w:hint="eastAsia"/>
          <w:color w:val="000000"/>
          <w:sz w:val="32"/>
          <w:szCs w:val="32"/>
        </w:rPr>
        <w:t>辆，无</w:t>
      </w:r>
      <w:r>
        <w:rPr>
          <w:rFonts w:ascii="仿宋" w:eastAsia="仿宋" w:hAnsi="仿宋" w:hint="eastAsia"/>
          <w:color w:val="000000" w:themeColor="text1"/>
          <w:sz w:val="32"/>
          <w:szCs w:val="32"/>
        </w:rPr>
        <w:t>单价</w:t>
      </w:r>
      <w:r>
        <w:rPr>
          <w:rFonts w:ascii="仿宋" w:eastAsia="仿宋" w:hAnsi="仿宋"/>
          <w:color w:val="000000" w:themeColor="text1"/>
          <w:sz w:val="32"/>
          <w:szCs w:val="32"/>
        </w:rPr>
        <w:t>50</w:t>
      </w:r>
      <w:r>
        <w:rPr>
          <w:rFonts w:ascii="仿宋" w:eastAsia="仿宋" w:hAnsi="仿宋" w:hint="eastAsia"/>
          <w:color w:val="000000" w:themeColor="text1"/>
          <w:sz w:val="32"/>
          <w:szCs w:val="32"/>
        </w:rPr>
        <w:t>万元以上通用设备，无单价</w:t>
      </w:r>
      <w:r>
        <w:rPr>
          <w:rFonts w:ascii="仿宋" w:eastAsia="仿宋" w:hAnsi="仿宋"/>
          <w:color w:val="000000" w:themeColor="text1"/>
          <w:sz w:val="32"/>
          <w:szCs w:val="32"/>
        </w:rPr>
        <w:t>100</w:t>
      </w:r>
      <w:r>
        <w:rPr>
          <w:rFonts w:ascii="仿宋" w:eastAsia="仿宋" w:hAnsi="仿宋" w:hint="eastAsia"/>
          <w:color w:val="000000"/>
          <w:sz w:val="32"/>
          <w:szCs w:val="32"/>
        </w:rPr>
        <w:t>万元以上专用设备。</w:t>
      </w:r>
    </w:p>
    <w:p w:rsidR="00E47E61" w:rsidRDefault="00DD0F2B">
      <w:pPr>
        <w:autoSpaceDE w:val="0"/>
        <w:autoSpaceDN w:val="0"/>
        <w:adjustRightInd w:val="0"/>
        <w:spacing w:line="600" w:lineRule="exact"/>
        <w:ind w:firstLineChars="200" w:firstLine="643"/>
        <w:jc w:val="left"/>
        <w:outlineLvl w:val="2"/>
        <w:rPr>
          <w:rFonts w:ascii="楷体" w:eastAsia="楷体" w:hAnsi="楷体"/>
          <w:b/>
          <w:color w:val="000000"/>
          <w:sz w:val="32"/>
          <w:szCs w:val="32"/>
        </w:rPr>
      </w:pPr>
      <w:r>
        <w:rPr>
          <w:rFonts w:ascii="楷体" w:eastAsia="楷体" w:hAnsi="楷体" w:hint="eastAsia"/>
          <w:b/>
          <w:color w:val="000000"/>
          <w:sz w:val="32"/>
          <w:szCs w:val="32"/>
        </w:rPr>
        <w:t>（四）预算绩效管理情况。</w:t>
      </w:r>
    </w:p>
    <w:p w:rsidR="00E47E61" w:rsidRDefault="00DD0F2B">
      <w:pPr>
        <w:spacing w:line="580" w:lineRule="exact"/>
        <w:ind w:leftChars="228" w:left="479" w:firstLineChars="49" w:firstLine="157"/>
        <w:rPr>
          <w:rFonts w:ascii="楷体_GB2312" w:eastAsia="楷体_GB2312" w:hAnsi="楷体_GB2312" w:cs="楷体_GB2312"/>
          <w:sz w:val="32"/>
          <w:szCs w:val="32"/>
        </w:rPr>
      </w:pPr>
      <w:r>
        <w:rPr>
          <w:rFonts w:ascii="仿宋" w:eastAsia="仿宋" w:hAnsi="仿宋" w:cs="楷体_GB2312" w:hint="eastAsia"/>
          <w:b/>
          <w:sz w:val="32"/>
          <w:szCs w:val="32"/>
        </w:rPr>
        <w:t>1.</w:t>
      </w:r>
      <w:r>
        <w:rPr>
          <w:rFonts w:ascii="仿宋" w:eastAsia="仿宋" w:hAnsi="仿宋" w:cs="楷体_GB2312" w:hint="eastAsia"/>
          <w:b/>
          <w:sz w:val="32"/>
          <w:szCs w:val="32"/>
        </w:rPr>
        <w:t>项目绩效目标完成情况。</w:t>
      </w:r>
    </w:p>
    <w:p w:rsidR="00E47E61" w:rsidRDefault="00DD0F2B">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本部门</w:t>
      </w:r>
      <w:r>
        <w:rPr>
          <w:rFonts w:ascii="仿宋" w:eastAsia="仿宋" w:hAnsi="仿宋" w:cs="仿宋_GB2312" w:hint="eastAsia"/>
          <w:sz w:val="32"/>
          <w:szCs w:val="32"/>
        </w:rPr>
        <w:t>2019</w:t>
      </w:r>
      <w:r>
        <w:rPr>
          <w:rFonts w:ascii="仿宋" w:eastAsia="仿宋" w:hAnsi="仿宋" w:cs="仿宋_GB2312" w:hint="eastAsia"/>
          <w:sz w:val="32"/>
          <w:szCs w:val="32"/>
        </w:rPr>
        <w:t>年未开展预算绩效管理工作和项目支出绩效评价。</w:t>
      </w:r>
    </w:p>
    <w:p w:rsidR="00E47E61" w:rsidRDefault="00DD0F2B">
      <w:pPr>
        <w:spacing w:line="580" w:lineRule="exact"/>
        <w:ind w:firstLineChars="200" w:firstLine="643"/>
        <w:rPr>
          <w:rFonts w:ascii="仿宋" w:eastAsia="仿宋" w:hAnsi="仿宋" w:cs="楷体_GB2312"/>
          <w:b/>
          <w:sz w:val="32"/>
          <w:szCs w:val="32"/>
        </w:rPr>
      </w:pPr>
      <w:r>
        <w:rPr>
          <w:rFonts w:ascii="仿宋" w:eastAsia="仿宋" w:hAnsi="仿宋" w:cs="楷体_GB2312" w:hint="eastAsia"/>
          <w:b/>
          <w:sz w:val="32"/>
          <w:szCs w:val="32"/>
        </w:rPr>
        <w:t>2.</w:t>
      </w:r>
      <w:r>
        <w:rPr>
          <w:rFonts w:ascii="仿宋" w:eastAsia="仿宋" w:hAnsi="仿宋" w:cs="楷体_GB2312" w:hint="eastAsia"/>
          <w:b/>
          <w:sz w:val="32"/>
          <w:szCs w:val="32"/>
        </w:rPr>
        <w:t>部门绩效评价结果。</w:t>
      </w:r>
    </w:p>
    <w:p w:rsidR="00E47E61" w:rsidRDefault="00DD0F2B">
      <w:pPr>
        <w:widowControl/>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本部门</w:t>
      </w:r>
      <w:r>
        <w:rPr>
          <w:rFonts w:ascii="仿宋" w:eastAsia="仿宋" w:hAnsi="仿宋" w:hint="eastAsia"/>
          <w:color w:val="000000"/>
          <w:sz w:val="32"/>
          <w:szCs w:val="32"/>
        </w:rPr>
        <w:t>2019</w:t>
      </w:r>
      <w:r>
        <w:rPr>
          <w:rFonts w:ascii="仿宋" w:eastAsia="仿宋" w:hAnsi="仿宋" w:hint="eastAsia"/>
          <w:color w:val="000000"/>
          <w:sz w:val="32"/>
          <w:szCs w:val="32"/>
        </w:rPr>
        <w:t>年未开展项目支出绩效评价</w:t>
      </w:r>
    </w:p>
    <w:p w:rsidR="00E47E61" w:rsidRDefault="00E47E61">
      <w:pPr>
        <w:widowControl/>
        <w:jc w:val="left"/>
        <w:rPr>
          <w:rFonts w:ascii="仿宋_GB2312" w:eastAsia="仿宋_GB2312"/>
          <w:color w:val="000000"/>
          <w:sz w:val="32"/>
          <w:szCs w:val="32"/>
        </w:rPr>
      </w:pPr>
    </w:p>
    <w:p w:rsidR="00E47E61" w:rsidRDefault="00E47E61">
      <w:pPr>
        <w:widowControl/>
        <w:jc w:val="left"/>
        <w:rPr>
          <w:rFonts w:ascii="仿宋_GB2312" w:eastAsia="仿宋_GB2312"/>
          <w:color w:val="000000"/>
          <w:sz w:val="32"/>
          <w:szCs w:val="32"/>
        </w:rPr>
      </w:pPr>
    </w:p>
    <w:p w:rsidR="00E47E61" w:rsidRDefault="00E47E61">
      <w:pPr>
        <w:widowControl/>
        <w:jc w:val="left"/>
        <w:rPr>
          <w:rFonts w:ascii="仿宋_GB2312" w:eastAsia="仿宋_GB2312"/>
          <w:color w:val="000000"/>
          <w:sz w:val="32"/>
          <w:szCs w:val="32"/>
        </w:rPr>
      </w:pPr>
    </w:p>
    <w:p w:rsidR="00E47E61" w:rsidRDefault="00E47E61">
      <w:pPr>
        <w:widowControl/>
        <w:jc w:val="left"/>
        <w:rPr>
          <w:rFonts w:ascii="仿宋_GB2312" w:eastAsia="仿宋_GB2312"/>
          <w:color w:val="000000"/>
          <w:sz w:val="32"/>
          <w:szCs w:val="32"/>
        </w:rPr>
      </w:pPr>
    </w:p>
    <w:p w:rsidR="00E47E61" w:rsidRDefault="00DD0F2B">
      <w:pPr>
        <w:widowControl/>
        <w:tabs>
          <w:tab w:val="left" w:pos="3396"/>
        </w:tabs>
        <w:jc w:val="left"/>
        <w:rPr>
          <w:rFonts w:ascii="仿宋_GB2312" w:eastAsia="仿宋_GB2312"/>
          <w:color w:val="000000"/>
          <w:sz w:val="32"/>
          <w:szCs w:val="32"/>
        </w:rPr>
      </w:pPr>
      <w:r>
        <w:rPr>
          <w:rFonts w:ascii="仿宋_GB2312" w:eastAsia="仿宋_GB2312" w:hint="eastAsia"/>
          <w:color w:val="000000"/>
          <w:sz w:val="32"/>
          <w:szCs w:val="32"/>
        </w:rPr>
        <w:tab/>
      </w:r>
    </w:p>
    <w:p w:rsidR="00E47E61" w:rsidRDefault="00E47E61">
      <w:pPr>
        <w:widowControl/>
        <w:jc w:val="left"/>
        <w:rPr>
          <w:rFonts w:ascii="仿宋_GB2312" w:eastAsia="仿宋_GB2312"/>
          <w:color w:val="000000"/>
          <w:sz w:val="32"/>
          <w:szCs w:val="32"/>
        </w:rPr>
      </w:pPr>
    </w:p>
    <w:p w:rsidR="00E47E61" w:rsidRDefault="00E47E61">
      <w:pPr>
        <w:widowControl/>
        <w:jc w:val="left"/>
        <w:rPr>
          <w:rFonts w:ascii="仿宋_GB2312" w:eastAsia="仿宋_GB2312"/>
          <w:color w:val="000000"/>
          <w:sz w:val="32"/>
          <w:szCs w:val="32"/>
        </w:rPr>
      </w:pPr>
    </w:p>
    <w:p w:rsidR="00E47E61" w:rsidRDefault="00E47E61">
      <w:pPr>
        <w:widowControl/>
        <w:jc w:val="left"/>
        <w:rPr>
          <w:rFonts w:ascii="仿宋_GB2312" w:eastAsia="仿宋_GB2312"/>
          <w:color w:val="000000"/>
          <w:sz w:val="32"/>
          <w:szCs w:val="32"/>
        </w:rPr>
      </w:pPr>
    </w:p>
    <w:p w:rsidR="00E47E61" w:rsidRDefault="00E47E61">
      <w:pPr>
        <w:widowControl/>
        <w:jc w:val="left"/>
        <w:rPr>
          <w:rFonts w:ascii="仿宋_GB2312" w:eastAsia="仿宋_GB2312"/>
          <w:color w:val="000000"/>
          <w:sz w:val="32"/>
          <w:szCs w:val="32"/>
        </w:rPr>
      </w:pPr>
    </w:p>
    <w:p w:rsidR="00E47E61" w:rsidRDefault="00E47E61">
      <w:pPr>
        <w:widowControl/>
        <w:jc w:val="left"/>
        <w:rPr>
          <w:rFonts w:ascii="仿宋_GB2312" w:eastAsia="仿宋_GB2312"/>
          <w:color w:val="000000"/>
          <w:sz w:val="32"/>
          <w:szCs w:val="32"/>
        </w:rPr>
      </w:pPr>
    </w:p>
    <w:p w:rsidR="00E47E61" w:rsidRDefault="00E47E61">
      <w:pPr>
        <w:widowControl/>
        <w:jc w:val="left"/>
        <w:rPr>
          <w:rFonts w:ascii="仿宋_GB2312" w:eastAsia="仿宋_GB2312"/>
          <w:color w:val="000000"/>
          <w:sz w:val="32"/>
          <w:szCs w:val="32"/>
        </w:rPr>
      </w:pPr>
    </w:p>
    <w:p w:rsidR="00E47E61" w:rsidRDefault="00E47E61">
      <w:pPr>
        <w:widowControl/>
        <w:jc w:val="left"/>
        <w:rPr>
          <w:rFonts w:ascii="仿宋_GB2312" w:eastAsia="仿宋_GB2312"/>
          <w:color w:val="000000"/>
          <w:sz w:val="32"/>
          <w:szCs w:val="32"/>
        </w:rPr>
      </w:pPr>
    </w:p>
    <w:p w:rsidR="00E47E61" w:rsidRDefault="00E47E61">
      <w:pPr>
        <w:widowControl/>
        <w:jc w:val="left"/>
        <w:rPr>
          <w:rFonts w:ascii="仿宋_GB2312" w:eastAsia="仿宋_GB2312"/>
          <w:color w:val="000000"/>
          <w:sz w:val="32"/>
          <w:szCs w:val="32"/>
        </w:rPr>
      </w:pPr>
    </w:p>
    <w:p w:rsidR="00E47E61" w:rsidRDefault="00E47E61">
      <w:pPr>
        <w:widowControl/>
        <w:jc w:val="left"/>
        <w:rPr>
          <w:rFonts w:ascii="仿宋_GB2312" w:eastAsia="仿宋_GB2312"/>
          <w:color w:val="000000"/>
          <w:sz w:val="32"/>
          <w:szCs w:val="32"/>
        </w:rPr>
      </w:pPr>
    </w:p>
    <w:p w:rsidR="00E47E61" w:rsidRDefault="00E47E61">
      <w:pPr>
        <w:widowControl/>
        <w:jc w:val="left"/>
        <w:rPr>
          <w:rFonts w:ascii="仿宋_GB2312" w:eastAsia="仿宋_GB2312"/>
          <w:b/>
          <w:color w:val="000000"/>
          <w:sz w:val="32"/>
          <w:szCs w:val="32"/>
        </w:rPr>
      </w:pPr>
    </w:p>
    <w:p w:rsidR="00E47E61" w:rsidRDefault="00DD0F2B">
      <w:pPr>
        <w:numPr>
          <w:ilvl w:val="0"/>
          <w:numId w:val="3"/>
        </w:numPr>
        <w:spacing w:line="600" w:lineRule="exact"/>
        <w:ind w:firstLineChars="150" w:firstLine="660"/>
        <w:jc w:val="center"/>
        <w:outlineLvl w:val="0"/>
        <w:rPr>
          <w:rStyle w:val="1Char"/>
          <w:rFonts w:ascii="黑体" w:eastAsia="黑体" w:hAnsi="黑体"/>
          <w:b w:val="0"/>
        </w:rPr>
      </w:pPr>
      <w:bookmarkStart w:id="55" w:name="_Toc15396613"/>
      <w:bookmarkStart w:id="56" w:name="_Toc15377225"/>
      <w:r>
        <w:rPr>
          <w:rFonts w:ascii="黑体" w:eastAsia="黑体" w:hAnsi="黑体" w:hint="eastAsia"/>
          <w:color w:val="000000"/>
          <w:sz w:val="44"/>
          <w:szCs w:val="44"/>
        </w:rPr>
        <w:t>名</w:t>
      </w:r>
      <w:r>
        <w:rPr>
          <w:rStyle w:val="1Char"/>
          <w:rFonts w:ascii="黑体" w:eastAsia="黑体" w:hAnsi="黑体" w:hint="eastAsia"/>
          <w:b w:val="0"/>
        </w:rPr>
        <w:t>词解释</w:t>
      </w:r>
      <w:bookmarkEnd w:id="55"/>
      <w:bookmarkEnd w:id="56"/>
    </w:p>
    <w:p w:rsidR="00E47E61" w:rsidRDefault="00E47E61">
      <w:pPr>
        <w:spacing w:line="600" w:lineRule="exact"/>
        <w:jc w:val="left"/>
        <w:rPr>
          <w:rFonts w:ascii="宋体"/>
          <w:b/>
          <w:color w:val="000000"/>
          <w:sz w:val="44"/>
          <w:szCs w:val="44"/>
        </w:rPr>
      </w:pPr>
    </w:p>
    <w:p w:rsidR="00E47E61" w:rsidRDefault="00DD0F2B">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E47E61" w:rsidRDefault="00DD0F2B">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634941" w:rsidRDefault="00DD0F2B">
      <w:pPr>
        <w:pStyle w:val="Default"/>
        <w:spacing w:line="560" w:lineRule="exact"/>
        <w:ind w:firstLineChars="200" w:firstLine="640"/>
        <w:rPr>
          <w:rFonts w:ascii="仿宋_GB2312" w:eastAsia="仿宋_GB2312" w:hint="eastAsia"/>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E47E61" w:rsidRDefault="00DD0F2B">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w:t>
      </w:r>
      <w:r w:rsidR="00634941">
        <w:rPr>
          <w:rFonts w:ascii="仿宋_GB2312" w:eastAsia="仿宋_GB2312" w:hint="eastAsia"/>
          <w:sz w:val="32"/>
          <w:szCs w:val="32"/>
        </w:rPr>
        <w:t>银行利息</w:t>
      </w:r>
      <w:r>
        <w:rPr>
          <w:rFonts w:ascii="仿宋_GB2312" w:eastAsia="仿宋_GB2312" w:hint="eastAsia"/>
          <w:sz w:val="32"/>
          <w:szCs w:val="32"/>
        </w:rPr>
        <w:t>等。</w:t>
      </w:r>
    </w:p>
    <w:p w:rsidR="00E47E61" w:rsidRDefault="00DD0F2B">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w:t>
      </w:r>
      <w:r>
        <w:rPr>
          <w:rFonts w:ascii="仿宋_GB2312" w:eastAsia="仿宋_GB2312" w:hint="eastAsia"/>
          <w:sz w:val="32"/>
          <w:szCs w:val="32"/>
        </w:rPr>
        <w:t>的基金）弥补本年度收支缺口的资金。</w:t>
      </w:r>
    </w:p>
    <w:p w:rsidR="00E47E61" w:rsidRDefault="00DD0F2B">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E47E61" w:rsidRDefault="00DD0F2B">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E47E61" w:rsidRDefault="00DD0F2B">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E47E61" w:rsidRDefault="00DD0F2B">
      <w:pPr>
        <w:spacing w:line="600" w:lineRule="exact"/>
        <w:ind w:firstLine="640"/>
        <w:rPr>
          <w:rFonts w:ascii="仿宋_GB2312" w:eastAsia="仿宋_GB2312"/>
          <w:color w:val="000000"/>
          <w:sz w:val="32"/>
          <w:szCs w:val="32"/>
        </w:rPr>
      </w:pPr>
      <w:r>
        <w:rPr>
          <w:rFonts w:ascii="仿宋_GB2312" w:eastAsia="仿宋_GB2312" w:hint="eastAsia"/>
          <w:bCs/>
          <w:color w:val="000000"/>
          <w:sz w:val="32"/>
          <w:szCs w:val="32"/>
        </w:rPr>
        <w:t>9.</w:t>
      </w:r>
      <w:r>
        <w:rPr>
          <w:rFonts w:ascii="仿宋_GB2312" w:eastAsia="仿宋_GB2312" w:hint="eastAsia"/>
          <w:bCs/>
          <w:color w:val="000000"/>
          <w:sz w:val="32"/>
          <w:szCs w:val="32"/>
        </w:rPr>
        <w:t>一般公共服务（类）纪检监察事务（款）行政运政（项）</w:t>
      </w:r>
      <w:r>
        <w:rPr>
          <w:rFonts w:ascii="仿宋_GB2312" w:eastAsia="仿宋_GB2312" w:hint="eastAsia"/>
          <w:color w:val="000000"/>
          <w:sz w:val="32"/>
          <w:szCs w:val="32"/>
        </w:rPr>
        <w:t>，反映行政单位（包括实行公务员管理的事业单位）的基本支出。</w:t>
      </w:r>
    </w:p>
    <w:p w:rsidR="00E47E61" w:rsidRDefault="00DD0F2B">
      <w:pPr>
        <w:spacing w:line="600" w:lineRule="exact"/>
        <w:ind w:firstLine="640"/>
        <w:rPr>
          <w:rFonts w:ascii="仿宋_GB2312" w:eastAsia="仿宋_GB2312"/>
          <w:bCs/>
          <w:color w:val="000000"/>
          <w:sz w:val="32"/>
          <w:szCs w:val="32"/>
        </w:rPr>
      </w:pPr>
      <w:r>
        <w:rPr>
          <w:rFonts w:ascii="仿宋_GB2312" w:eastAsia="仿宋_GB2312" w:hint="eastAsia"/>
          <w:bCs/>
          <w:color w:val="000000"/>
          <w:sz w:val="32"/>
          <w:szCs w:val="32"/>
        </w:rPr>
        <w:t>10.</w:t>
      </w:r>
      <w:r>
        <w:rPr>
          <w:rFonts w:ascii="仿宋_GB2312" w:eastAsia="仿宋_GB2312" w:hint="eastAsia"/>
          <w:bCs/>
          <w:color w:val="000000"/>
          <w:sz w:val="32"/>
          <w:szCs w:val="32"/>
        </w:rPr>
        <w:t>一般公共服务（类）纪检监察事务（款）一般行政管理事务（项）</w:t>
      </w:r>
      <w:r>
        <w:rPr>
          <w:rFonts w:ascii="仿宋_GB2312" w:eastAsia="仿宋_GB2312" w:hint="eastAsia"/>
          <w:color w:val="000000"/>
          <w:sz w:val="32"/>
          <w:szCs w:val="32"/>
        </w:rPr>
        <w:t>，反映行政单位（包括实行公务员管理的事业单位）未单独设置项级科目的其他项目支出。</w:t>
      </w:r>
    </w:p>
    <w:p w:rsidR="00E47E61" w:rsidRDefault="00DD0F2B">
      <w:pPr>
        <w:spacing w:line="600" w:lineRule="exact"/>
        <w:ind w:firstLine="640"/>
        <w:rPr>
          <w:rFonts w:ascii="仿宋_GB2312" w:eastAsia="仿宋_GB2312"/>
          <w:color w:val="000000"/>
          <w:sz w:val="32"/>
          <w:szCs w:val="32"/>
        </w:rPr>
      </w:pPr>
      <w:r>
        <w:rPr>
          <w:rFonts w:ascii="仿宋_GB2312" w:eastAsia="仿宋_GB2312" w:hint="eastAsia"/>
          <w:bCs/>
          <w:color w:val="000000"/>
          <w:sz w:val="32"/>
          <w:szCs w:val="32"/>
        </w:rPr>
        <w:t>11.</w:t>
      </w:r>
      <w:r>
        <w:rPr>
          <w:rFonts w:ascii="仿宋_GB2312" w:eastAsia="仿宋_GB2312" w:hint="eastAsia"/>
          <w:bCs/>
          <w:color w:val="000000"/>
          <w:sz w:val="32"/>
          <w:szCs w:val="32"/>
        </w:rPr>
        <w:t>一般公共服务（类）纪检监察事务（款）大案要案查处（项），反映大要（专）案支出。</w:t>
      </w:r>
    </w:p>
    <w:p w:rsidR="00E47E61" w:rsidRDefault="00DD0F2B">
      <w:pPr>
        <w:spacing w:line="600" w:lineRule="exact"/>
        <w:ind w:firstLine="640"/>
        <w:rPr>
          <w:rFonts w:ascii="仿宋_GB2312" w:eastAsia="仿宋_GB2312"/>
          <w:color w:val="000000"/>
          <w:sz w:val="32"/>
          <w:szCs w:val="32"/>
        </w:rPr>
      </w:pPr>
      <w:r>
        <w:rPr>
          <w:rFonts w:ascii="仿宋_GB2312" w:eastAsia="仿宋_GB2312" w:hint="eastAsia"/>
          <w:bCs/>
          <w:color w:val="000000"/>
          <w:sz w:val="32"/>
          <w:szCs w:val="32"/>
        </w:rPr>
        <w:t>12.</w:t>
      </w:r>
      <w:r>
        <w:rPr>
          <w:rFonts w:ascii="仿宋_GB2312" w:eastAsia="仿宋_GB2312" w:hint="eastAsia"/>
          <w:bCs/>
          <w:color w:val="000000"/>
          <w:sz w:val="32"/>
          <w:szCs w:val="32"/>
        </w:rPr>
        <w:t>一般公共服务（类）纪检监察事务（款）其他纪检监察事务支出（项）</w:t>
      </w:r>
      <w:r>
        <w:rPr>
          <w:rFonts w:ascii="仿宋_GB2312" w:eastAsia="仿宋_GB2312" w:hint="eastAsia"/>
          <w:color w:val="000000"/>
          <w:sz w:val="32"/>
          <w:szCs w:val="32"/>
        </w:rPr>
        <w:t>，反映其他</w:t>
      </w:r>
      <w:r>
        <w:rPr>
          <w:rFonts w:ascii="仿宋_GB2312" w:eastAsia="仿宋_GB2312" w:hint="eastAsia"/>
          <w:bCs/>
          <w:color w:val="000000"/>
          <w:sz w:val="32"/>
          <w:szCs w:val="32"/>
        </w:rPr>
        <w:t>纪检监察事务方面的支出</w:t>
      </w:r>
      <w:r>
        <w:rPr>
          <w:rFonts w:ascii="仿宋_GB2312" w:eastAsia="仿宋_GB2312" w:hint="eastAsia"/>
          <w:color w:val="000000"/>
          <w:sz w:val="32"/>
          <w:szCs w:val="32"/>
        </w:rPr>
        <w:t>。</w:t>
      </w:r>
    </w:p>
    <w:p w:rsidR="00E47E61" w:rsidRDefault="00DD0F2B">
      <w:pPr>
        <w:spacing w:line="600" w:lineRule="exact"/>
        <w:ind w:firstLine="640"/>
        <w:rPr>
          <w:rFonts w:ascii="仿宋_GB2312" w:eastAsia="仿宋_GB2312"/>
          <w:bCs/>
          <w:color w:val="000000"/>
          <w:sz w:val="32"/>
          <w:szCs w:val="32"/>
        </w:rPr>
      </w:pPr>
      <w:r>
        <w:rPr>
          <w:rFonts w:ascii="仿宋_GB2312" w:eastAsia="仿宋_GB2312" w:hint="eastAsia"/>
          <w:bCs/>
          <w:color w:val="000000"/>
          <w:sz w:val="32"/>
          <w:szCs w:val="32"/>
        </w:rPr>
        <w:t>13.</w:t>
      </w:r>
      <w:r>
        <w:rPr>
          <w:rFonts w:ascii="仿宋_GB2312" w:eastAsia="仿宋_GB2312" w:hint="eastAsia"/>
          <w:bCs/>
          <w:color w:val="000000"/>
          <w:sz w:val="32"/>
          <w:szCs w:val="32"/>
        </w:rPr>
        <w:t>社会保障和就业（类）行政事业单位离退休（款）机关事业单位基本养老保险缴费支出（项）</w:t>
      </w:r>
      <w:r>
        <w:rPr>
          <w:rFonts w:ascii="仿宋_GB2312" w:eastAsia="仿宋_GB2312"/>
          <w:bCs/>
          <w:color w:val="000000"/>
          <w:sz w:val="32"/>
          <w:szCs w:val="32"/>
        </w:rPr>
        <w:t>:</w:t>
      </w:r>
      <w:r>
        <w:rPr>
          <w:rFonts w:ascii="仿宋_GB2312" w:eastAsia="仿宋_GB2312" w:hint="eastAsia"/>
          <w:bCs/>
          <w:color w:val="000000"/>
          <w:sz w:val="32"/>
          <w:szCs w:val="32"/>
        </w:rPr>
        <w:t>反映机关事业单位实施养老保险制度由单位缴纳的基本养老保险费支出。</w:t>
      </w:r>
    </w:p>
    <w:p w:rsidR="00E47E61" w:rsidRDefault="00DD0F2B">
      <w:pPr>
        <w:spacing w:line="600" w:lineRule="exact"/>
        <w:ind w:firstLine="640"/>
        <w:rPr>
          <w:rFonts w:ascii="仿宋_GB2312" w:eastAsia="仿宋_GB2312"/>
          <w:bCs/>
          <w:color w:val="000000"/>
          <w:sz w:val="32"/>
          <w:szCs w:val="32"/>
        </w:rPr>
      </w:pPr>
      <w:r>
        <w:rPr>
          <w:rFonts w:ascii="仿宋_GB2312" w:eastAsia="仿宋_GB2312" w:hint="eastAsia"/>
          <w:bCs/>
          <w:color w:val="000000"/>
          <w:sz w:val="32"/>
          <w:szCs w:val="32"/>
        </w:rPr>
        <w:t>14.</w:t>
      </w:r>
      <w:r>
        <w:rPr>
          <w:rFonts w:ascii="仿宋_GB2312" w:eastAsia="仿宋_GB2312" w:hint="eastAsia"/>
          <w:bCs/>
          <w:color w:val="000000"/>
          <w:sz w:val="32"/>
          <w:szCs w:val="32"/>
        </w:rPr>
        <w:t>社会保障和就业（类）其他社会保障和就业支出（款）其他社会保障和就业支出（项）</w:t>
      </w:r>
      <w:r>
        <w:rPr>
          <w:rFonts w:ascii="仿宋_GB2312" w:eastAsia="仿宋_GB2312"/>
          <w:bCs/>
          <w:color w:val="000000"/>
          <w:sz w:val="32"/>
          <w:szCs w:val="32"/>
        </w:rPr>
        <w:t>:</w:t>
      </w:r>
      <w:r>
        <w:rPr>
          <w:rFonts w:ascii="仿宋_GB2312" w:eastAsia="仿宋_GB2312" w:hint="eastAsia"/>
          <w:bCs/>
          <w:color w:val="000000"/>
          <w:sz w:val="32"/>
          <w:szCs w:val="32"/>
        </w:rPr>
        <w:t>反映除上述项目以外其他用于社会保障和就业方面的支出。</w:t>
      </w:r>
    </w:p>
    <w:p w:rsidR="00E47E61" w:rsidRDefault="00DD0F2B">
      <w:pPr>
        <w:spacing w:line="600" w:lineRule="exact"/>
        <w:ind w:firstLine="640"/>
        <w:rPr>
          <w:rFonts w:ascii="仿宋_GB2312" w:eastAsia="仿宋_GB2312"/>
          <w:bCs/>
          <w:color w:val="000000"/>
          <w:sz w:val="32"/>
          <w:szCs w:val="32"/>
        </w:rPr>
      </w:pPr>
      <w:r>
        <w:rPr>
          <w:rFonts w:ascii="仿宋_GB2312" w:eastAsia="仿宋_GB2312" w:hint="eastAsia"/>
          <w:bCs/>
          <w:color w:val="000000"/>
          <w:sz w:val="32"/>
          <w:szCs w:val="32"/>
        </w:rPr>
        <w:t>15.</w:t>
      </w:r>
      <w:r>
        <w:rPr>
          <w:rFonts w:ascii="仿宋_GB2312" w:eastAsia="仿宋_GB2312" w:hint="eastAsia"/>
          <w:bCs/>
          <w:color w:val="000000"/>
          <w:sz w:val="32"/>
          <w:szCs w:val="32"/>
        </w:rPr>
        <w:t>医疗卫生与计划生育（类）行政事业单位医疗（款）行政单位医疗（项）</w:t>
      </w:r>
      <w:r>
        <w:rPr>
          <w:rFonts w:ascii="仿宋_GB2312" w:eastAsia="仿宋_GB2312"/>
          <w:bCs/>
          <w:color w:val="000000"/>
          <w:sz w:val="32"/>
          <w:szCs w:val="32"/>
        </w:rPr>
        <w:t>:</w:t>
      </w:r>
      <w:r>
        <w:rPr>
          <w:rFonts w:ascii="仿宋_GB2312" w:eastAsia="仿宋_GB2312" w:hint="eastAsia"/>
          <w:bCs/>
          <w:color w:val="000000"/>
          <w:sz w:val="32"/>
          <w:szCs w:val="32"/>
        </w:rPr>
        <w:t>反映财政部门集中安排的行政单位基本医疗保险缴费经费，未参加医疗保险的行政单位的公费医疗经费，按国家规定享受离休人员、红军老战士待遇人员的医疗经费。</w:t>
      </w:r>
    </w:p>
    <w:p w:rsidR="00E47E61" w:rsidRDefault="00DD0F2B">
      <w:pPr>
        <w:spacing w:line="600" w:lineRule="exact"/>
        <w:ind w:firstLine="640"/>
        <w:rPr>
          <w:rFonts w:ascii="仿宋_GB2312" w:eastAsia="仿宋_GB2312"/>
          <w:bCs/>
          <w:color w:val="000000"/>
          <w:sz w:val="32"/>
          <w:szCs w:val="32"/>
        </w:rPr>
      </w:pPr>
      <w:r>
        <w:rPr>
          <w:rFonts w:ascii="仿宋_GB2312" w:eastAsia="仿宋_GB2312" w:hint="eastAsia"/>
          <w:bCs/>
          <w:color w:val="000000"/>
          <w:sz w:val="32"/>
          <w:szCs w:val="32"/>
        </w:rPr>
        <w:t>16.</w:t>
      </w:r>
      <w:r>
        <w:rPr>
          <w:rFonts w:ascii="仿宋_GB2312" w:eastAsia="仿宋_GB2312" w:hint="eastAsia"/>
          <w:bCs/>
          <w:color w:val="000000"/>
          <w:sz w:val="32"/>
          <w:szCs w:val="32"/>
        </w:rPr>
        <w:t>住房保障（类）住房改革支出（款）住房公积金（项）</w:t>
      </w:r>
      <w:r>
        <w:rPr>
          <w:rFonts w:ascii="仿宋_GB2312" w:eastAsia="仿宋_GB2312"/>
          <w:bCs/>
          <w:color w:val="000000"/>
          <w:sz w:val="32"/>
          <w:szCs w:val="32"/>
        </w:rPr>
        <w:t>:</w:t>
      </w:r>
      <w:r>
        <w:rPr>
          <w:rFonts w:ascii="仿宋_GB2312" w:eastAsia="仿宋_GB2312" w:hint="eastAsia"/>
          <w:bCs/>
          <w:color w:val="000000"/>
          <w:sz w:val="32"/>
          <w:szCs w:val="32"/>
        </w:rPr>
        <w:t>反映行政事业单位按人力资源和社会保障部、财政部规定的基本工资和津补贴以及规定比例为职工缴纳的住房公积金</w:t>
      </w:r>
      <w:r>
        <w:rPr>
          <w:rFonts w:ascii="仿宋_GB2312" w:eastAsia="仿宋_GB2312" w:hint="eastAsia"/>
          <w:color w:val="000000"/>
          <w:sz w:val="32"/>
          <w:szCs w:val="32"/>
        </w:rPr>
        <w:t>。</w:t>
      </w:r>
    </w:p>
    <w:p w:rsidR="00E47E61" w:rsidRDefault="00DD0F2B">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7.</w:t>
      </w:r>
      <w:r>
        <w:rPr>
          <w:rFonts w:ascii="仿宋_GB2312" w:eastAsia="仿宋_GB2312" w:hint="eastAsia"/>
          <w:color w:val="000000"/>
          <w:sz w:val="32"/>
          <w:szCs w:val="32"/>
        </w:rPr>
        <w:t>基本支出：指为保障机构正常运转、完成日常工作任务而发生的人员支出和公用</w:t>
      </w:r>
      <w:r>
        <w:rPr>
          <w:rFonts w:ascii="仿宋_GB2312" w:eastAsia="仿宋_GB2312" w:hint="eastAsia"/>
          <w:color w:val="000000"/>
          <w:sz w:val="32"/>
          <w:szCs w:val="32"/>
        </w:rPr>
        <w:t>支出。</w:t>
      </w:r>
    </w:p>
    <w:p w:rsidR="00E47E61" w:rsidRDefault="00DD0F2B">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8.</w:t>
      </w:r>
      <w:r>
        <w:rPr>
          <w:rFonts w:ascii="仿宋_GB2312" w:eastAsia="仿宋_GB2312" w:hint="eastAsia"/>
          <w:color w:val="000000"/>
          <w:sz w:val="32"/>
          <w:szCs w:val="32"/>
        </w:rPr>
        <w:t>项目支出：指在基本支出之外为完成特定行政任务和事业发展目标所发生的支出。</w:t>
      </w:r>
    </w:p>
    <w:p w:rsidR="00E47E61" w:rsidRDefault="00DD0F2B">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9.</w:t>
      </w:r>
      <w:r>
        <w:rPr>
          <w:rFonts w:ascii="仿宋_GB2312" w:eastAsia="仿宋_GB2312" w:hint="eastAsia"/>
          <w:color w:val="000000"/>
          <w:sz w:val="32"/>
          <w:szCs w:val="32"/>
        </w:rPr>
        <w:t>经营支出：指事业单位在专业业务活动及其辅助活动之外开展非独立核算经营活动发生的支出。</w:t>
      </w:r>
    </w:p>
    <w:p w:rsidR="00E47E61" w:rsidRDefault="00DD0F2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w:t>
      </w:r>
      <w:r>
        <w:rPr>
          <w:rFonts w:ascii="仿宋_GB2312" w:eastAsia="仿宋_GB2312" w:hint="eastAsia"/>
          <w:sz w:val="32"/>
          <w:szCs w:val="32"/>
        </w:rPr>
        <w:t>反映单位按规定开支的各类公务接待（含外宾接待）支出。</w:t>
      </w:r>
    </w:p>
    <w:p w:rsidR="00E47E61" w:rsidRDefault="00DD0F2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47E61" w:rsidRDefault="00E47E61">
      <w:pPr>
        <w:pStyle w:val="Default"/>
        <w:spacing w:line="560" w:lineRule="exact"/>
        <w:ind w:firstLineChars="200" w:firstLine="640"/>
        <w:rPr>
          <w:rFonts w:ascii="仿宋_GB2312" w:eastAsia="仿宋_GB2312"/>
          <w:sz w:val="32"/>
          <w:szCs w:val="32"/>
        </w:rPr>
      </w:pPr>
    </w:p>
    <w:p w:rsidR="00E47E61" w:rsidRDefault="00E47E61">
      <w:pPr>
        <w:pStyle w:val="Default"/>
        <w:spacing w:line="560" w:lineRule="exact"/>
        <w:ind w:firstLineChars="200" w:firstLine="640"/>
        <w:rPr>
          <w:rFonts w:ascii="仿宋_GB2312" w:eastAsia="仿宋_GB2312"/>
          <w:sz w:val="32"/>
          <w:szCs w:val="32"/>
        </w:rPr>
      </w:pPr>
    </w:p>
    <w:p w:rsidR="00E47E61" w:rsidRDefault="00E47E61">
      <w:pPr>
        <w:pStyle w:val="Default"/>
        <w:spacing w:line="560" w:lineRule="exact"/>
        <w:ind w:firstLineChars="200" w:firstLine="640"/>
        <w:rPr>
          <w:rFonts w:ascii="仿宋_GB2312" w:eastAsia="仿宋_GB2312"/>
          <w:sz w:val="32"/>
          <w:szCs w:val="32"/>
        </w:rPr>
      </w:pPr>
    </w:p>
    <w:p w:rsidR="00E47E61" w:rsidRDefault="00E47E61">
      <w:pPr>
        <w:spacing w:line="600" w:lineRule="exact"/>
        <w:jc w:val="center"/>
        <w:outlineLvl w:val="0"/>
        <w:rPr>
          <w:rFonts w:ascii="黑体" w:eastAsia="黑体" w:hAnsi="黑体"/>
          <w:color w:val="000000"/>
          <w:sz w:val="44"/>
          <w:szCs w:val="44"/>
        </w:rPr>
      </w:pPr>
      <w:bookmarkStart w:id="57" w:name="_Toc15396614"/>
      <w:bookmarkStart w:id="58" w:name="_Toc15377226"/>
    </w:p>
    <w:p w:rsidR="00E47E61" w:rsidRDefault="00E47E61">
      <w:pPr>
        <w:spacing w:line="600" w:lineRule="exact"/>
        <w:jc w:val="center"/>
        <w:outlineLvl w:val="0"/>
        <w:rPr>
          <w:rFonts w:ascii="黑体" w:eastAsia="黑体" w:hAnsi="黑体" w:hint="eastAsia"/>
          <w:color w:val="000000"/>
          <w:sz w:val="44"/>
          <w:szCs w:val="44"/>
        </w:rPr>
      </w:pPr>
    </w:p>
    <w:p w:rsidR="00634941" w:rsidRDefault="00634941">
      <w:pPr>
        <w:spacing w:line="600" w:lineRule="exact"/>
        <w:jc w:val="center"/>
        <w:outlineLvl w:val="0"/>
        <w:rPr>
          <w:rFonts w:ascii="黑体" w:eastAsia="黑体" w:hAnsi="黑体"/>
          <w:color w:val="000000"/>
          <w:sz w:val="44"/>
          <w:szCs w:val="44"/>
        </w:rPr>
      </w:pPr>
    </w:p>
    <w:p w:rsidR="00E47E61" w:rsidRDefault="00DD0F2B">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7"/>
    </w:p>
    <w:p w:rsidR="00E47E61" w:rsidRDefault="00DD0F2B">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E47E61" w:rsidRDefault="00DD0F2B">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本部门</w:t>
      </w:r>
      <w:r>
        <w:rPr>
          <w:rFonts w:ascii="仿宋" w:eastAsia="仿宋" w:hAnsi="仿宋" w:cs="仿宋_GB2312" w:hint="eastAsia"/>
          <w:sz w:val="32"/>
          <w:szCs w:val="32"/>
        </w:rPr>
        <w:t>2019</w:t>
      </w:r>
      <w:r>
        <w:rPr>
          <w:rFonts w:ascii="仿宋" w:eastAsia="仿宋" w:hAnsi="仿宋" w:cs="仿宋_GB2312" w:hint="eastAsia"/>
          <w:sz w:val="32"/>
          <w:szCs w:val="32"/>
        </w:rPr>
        <w:t>年未开展预算绩效管理工作和项目支出绩效评价。</w:t>
      </w:r>
    </w:p>
    <w:p w:rsidR="00E47E61" w:rsidRDefault="00E47E61">
      <w:pPr>
        <w:spacing w:line="580" w:lineRule="exact"/>
        <w:jc w:val="center"/>
        <w:rPr>
          <w:rFonts w:ascii="方正小标宋简体" w:eastAsia="方正小标宋简体" w:hAnsi="方正小标宋简体" w:cs="方正小标宋简体"/>
          <w:sz w:val="44"/>
          <w:szCs w:val="44"/>
        </w:rPr>
      </w:pPr>
    </w:p>
    <w:p w:rsidR="00E47E61" w:rsidRDefault="00DD0F2B">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E47E61" w:rsidRDefault="00DD0F2B">
      <w:pPr>
        <w:widowControl/>
        <w:ind w:firstLineChars="200" w:firstLine="640"/>
        <w:jc w:val="left"/>
        <w:rPr>
          <w:rFonts w:ascii="仿宋" w:eastAsia="仿宋" w:hAnsi="仿宋"/>
          <w:color w:val="000000"/>
          <w:sz w:val="32"/>
          <w:szCs w:val="32"/>
        </w:rPr>
      </w:pPr>
      <w:r>
        <w:rPr>
          <w:rFonts w:ascii="仿宋" w:eastAsia="仿宋" w:hAnsi="仿宋" w:cs="仿宋_GB2312" w:hint="eastAsia"/>
          <w:sz w:val="32"/>
          <w:szCs w:val="32"/>
        </w:rPr>
        <w:t>本部门</w:t>
      </w:r>
      <w:r>
        <w:rPr>
          <w:rFonts w:ascii="仿宋" w:eastAsia="仿宋" w:hAnsi="仿宋" w:hint="eastAsia"/>
          <w:color w:val="000000"/>
          <w:sz w:val="32"/>
          <w:szCs w:val="32"/>
        </w:rPr>
        <w:t>2019</w:t>
      </w:r>
      <w:r>
        <w:rPr>
          <w:rFonts w:ascii="仿宋" w:eastAsia="仿宋" w:hAnsi="仿宋" w:hint="eastAsia"/>
          <w:color w:val="000000"/>
          <w:sz w:val="32"/>
          <w:szCs w:val="32"/>
        </w:rPr>
        <w:t>年未开展项目支出绩效评价</w:t>
      </w:r>
    </w:p>
    <w:p w:rsidR="00E47E61" w:rsidRDefault="00E47E61">
      <w:pPr>
        <w:spacing w:line="580" w:lineRule="exact"/>
        <w:ind w:firstLineChars="200" w:firstLine="640"/>
        <w:rPr>
          <w:rFonts w:ascii="仿宋_GB2312" w:eastAsia="仿宋_GB2312" w:hAnsi="仿宋_GB2312" w:cs="仿宋_GB2312"/>
          <w:sz w:val="32"/>
          <w:szCs w:val="32"/>
        </w:rPr>
      </w:pPr>
    </w:p>
    <w:p w:rsidR="00E47E61" w:rsidRDefault="00DD0F2B" w:rsidP="00634941">
      <w:pPr>
        <w:widowControl/>
        <w:jc w:val="left"/>
        <w:rPr>
          <w:rStyle w:val="1Char"/>
          <w:rFonts w:ascii="黑体" w:eastAsia="黑体" w:hAnsi="黑体"/>
          <w:b w:val="0"/>
        </w:rPr>
      </w:pPr>
      <w:r>
        <w:rPr>
          <w:rStyle w:val="1Char"/>
          <w:rFonts w:ascii="黑体" w:eastAsia="黑体" w:hAnsi="黑体"/>
          <w:b w:val="0"/>
        </w:rPr>
        <w:br w:type="page"/>
      </w:r>
    </w:p>
    <w:p w:rsidR="00E47E61" w:rsidRDefault="00DD0F2B">
      <w:pPr>
        <w:spacing w:line="600" w:lineRule="exact"/>
        <w:jc w:val="center"/>
        <w:outlineLvl w:val="0"/>
        <w:rPr>
          <w:rStyle w:val="1Char"/>
          <w:rFonts w:ascii="黑体" w:eastAsia="黑体" w:hAnsi="黑体"/>
          <w:b w:val="0"/>
        </w:rPr>
      </w:pPr>
      <w:bookmarkStart w:id="59" w:name="_Toc15396618"/>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58"/>
      <w:bookmarkEnd w:id="59"/>
    </w:p>
    <w:p w:rsidR="00E47E61" w:rsidRDefault="00E47E61">
      <w:pPr>
        <w:spacing w:line="600" w:lineRule="exact"/>
        <w:jc w:val="center"/>
        <w:outlineLvl w:val="0"/>
        <w:rPr>
          <w:rFonts w:ascii="仿宋" w:eastAsia="仿宋" w:hAnsi="仿宋"/>
          <w:b/>
          <w:color w:val="000000"/>
          <w:sz w:val="44"/>
          <w:szCs w:val="44"/>
        </w:rPr>
      </w:pPr>
    </w:p>
    <w:p w:rsidR="00E47E61" w:rsidRDefault="00DD0F2B">
      <w:pPr>
        <w:pStyle w:val="2"/>
        <w:rPr>
          <w:rFonts w:ascii="仿宋" w:eastAsia="仿宋" w:hAnsi="仿宋"/>
          <w:color w:val="000000"/>
        </w:rPr>
      </w:pPr>
      <w:bookmarkStart w:id="60" w:name="_Toc15396619"/>
      <w:r>
        <w:rPr>
          <w:rFonts w:ascii="仿宋" w:eastAsia="仿宋" w:hAnsi="仿宋" w:hint="eastAsia"/>
          <w:b w:val="0"/>
          <w:color w:val="000000"/>
        </w:rPr>
        <w:t>一、收</w:t>
      </w:r>
      <w:r>
        <w:rPr>
          <w:rStyle w:val="2Char"/>
          <w:rFonts w:ascii="仿宋" w:eastAsia="仿宋" w:hAnsi="仿宋" w:hint="eastAsia"/>
        </w:rPr>
        <w:t>入支出决算总表</w:t>
      </w:r>
      <w:bookmarkEnd w:id="60"/>
    </w:p>
    <w:p w:rsidR="00E47E61" w:rsidRDefault="00DD0F2B">
      <w:pPr>
        <w:pStyle w:val="2"/>
        <w:rPr>
          <w:rFonts w:ascii="仿宋" w:eastAsia="仿宋" w:hAnsi="仿宋"/>
          <w:color w:val="000000"/>
        </w:rPr>
      </w:pPr>
      <w:bookmarkStart w:id="61" w:name="_Toc15396620"/>
      <w:r>
        <w:rPr>
          <w:rFonts w:ascii="仿宋" w:eastAsia="仿宋" w:hAnsi="仿宋" w:hint="eastAsia"/>
          <w:b w:val="0"/>
          <w:color w:val="000000"/>
        </w:rPr>
        <w:t>二、收</w:t>
      </w:r>
      <w:r>
        <w:rPr>
          <w:rStyle w:val="2Char"/>
          <w:rFonts w:ascii="仿宋" w:eastAsia="仿宋" w:hAnsi="仿宋" w:hint="eastAsia"/>
        </w:rPr>
        <w:t>入决算表</w:t>
      </w:r>
      <w:bookmarkEnd w:id="61"/>
    </w:p>
    <w:p w:rsidR="00E47E61" w:rsidRDefault="00DD0F2B">
      <w:pPr>
        <w:pStyle w:val="2"/>
        <w:rPr>
          <w:rFonts w:ascii="仿宋" w:eastAsia="仿宋" w:hAnsi="仿宋"/>
          <w:color w:val="000000"/>
        </w:rPr>
      </w:pPr>
      <w:bookmarkStart w:id="62"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2"/>
    </w:p>
    <w:p w:rsidR="00E47E61" w:rsidRDefault="00DD0F2B">
      <w:pPr>
        <w:pStyle w:val="2"/>
        <w:rPr>
          <w:rFonts w:ascii="仿宋" w:eastAsia="仿宋" w:hAnsi="仿宋"/>
          <w:b w:val="0"/>
          <w:color w:val="000000"/>
        </w:rPr>
      </w:pPr>
      <w:bookmarkStart w:id="63"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3"/>
    </w:p>
    <w:p w:rsidR="00E47E61" w:rsidRDefault="00DD0F2B">
      <w:pPr>
        <w:pStyle w:val="2"/>
        <w:rPr>
          <w:rStyle w:val="2Char"/>
          <w:rFonts w:ascii="仿宋" w:eastAsia="仿宋" w:hAnsi="仿宋"/>
        </w:rPr>
      </w:pPr>
      <w:bookmarkStart w:id="64"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5" w:name="_Toc15396624"/>
      <w:bookmarkEnd w:id="64"/>
    </w:p>
    <w:p w:rsidR="00E47E61" w:rsidRDefault="00DD0F2B">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5"/>
    </w:p>
    <w:p w:rsidR="00E47E61" w:rsidRDefault="00DD0F2B">
      <w:pPr>
        <w:pStyle w:val="2"/>
        <w:rPr>
          <w:rFonts w:ascii="仿宋" w:eastAsia="仿宋" w:hAnsi="仿宋"/>
          <w:color w:val="000000"/>
        </w:rPr>
      </w:pPr>
      <w:bookmarkStart w:id="66"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6"/>
    </w:p>
    <w:p w:rsidR="00E47E61" w:rsidRDefault="00DD0F2B">
      <w:pPr>
        <w:pStyle w:val="2"/>
        <w:rPr>
          <w:rFonts w:ascii="仿宋" w:eastAsia="仿宋" w:hAnsi="仿宋"/>
          <w:color w:val="000000"/>
        </w:rPr>
      </w:pPr>
      <w:bookmarkStart w:id="67"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7"/>
    </w:p>
    <w:p w:rsidR="00E47E61" w:rsidRDefault="00DD0F2B">
      <w:pPr>
        <w:pStyle w:val="2"/>
        <w:rPr>
          <w:rFonts w:ascii="仿宋" w:eastAsia="仿宋" w:hAnsi="仿宋"/>
          <w:color w:val="000000"/>
        </w:rPr>
      </w:pPr>
      <w:bookmarkStart w:id="68"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8"/>
    </w:p>
    <w:p w:rsidR="00E47E61" w:rsidRDefault="00DD0F2B">
      <w:pPr>
        <w:pStyle w:val="2"/>
        <w:rPr>
          <w:rFonts w:ascii="仿宋" w:eastAsia="仿宋" w:hAnsi="仿宋"/>
          <w:color w:val="000000"/>
        </w:rPr>
      </w:pPr>
      <w:bookmarkStart w:id="69"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9"/>
    </w:p>
    <w:p w:rsidR="00E47E61" w:rsidRDefault="00DD0F2B">
      <w:pPr>
        <w:pStyle w:val="2"/>
        <w:rPr>
          <w:rFonts w:ascii="仿宋" w:eastAsia="仿宋" w:hAnsi="仿宋"/>
          <w:color w:val="000000"/>
        </w:rPr>
      </w:pPr>
      <w:bookmarkStart w:id="70"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0"/>
    </w:p>
    <w:p w:rsidR="00E47E61" w:rsidRDefault="00DD0F2B">
      <w:pPr>
        <w:pStyle w:val="2"/>
        <w:rPr>
          <w:rFonts w:ascii="仿宋" w:eastAsia="仿宋" w:hAnsi="仿宋"/>
          <w:color w:val="000000"/>
        </w:rPr>
      </w:pPr>
      <w:bookmarkStart w:id="71"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1"/>
    </w:p>
    <w:p w:rsidR="00E47E61" w:rsidRDefault="00DD0F2B">
      <w:pPr>
        <w:pStyle w:val="2"/>
        <w:rPr>
          <w:rFonts w:ascii="仿宋" w:eastAsia="仿宋" w:hAnsi="仿宋"/>
          <w:color w:val="000000" w:themeColor="text1"/>
        </w:rPr>
      </w:pPr>
      <w:bookmarkStart w:id="72"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2"/>
    </w:p>
    <w:sectPr w:rsidR="00E47E61" w:rsidSect="00234A5E">
      <w:headerReference w:type="default" r:id="rId16"/>
      <w:footerReference w:type="default" r:id="rId17"/>
      <w:pgSz w:w="11906" w:h="16838" w:code="9"/>
      <w:pgMar w:top="1440" w:right="1797" w:bottom="1440" w:left="1797" w:header="851" w:footer="624"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E61" w:rsidRDefault="00E47E61" w:rsidP="00E47E61">
      <w:r>
        <w:separator/>
      </w:r>
    </w:p>
  </w:endnote>
  <w:endnote w:type="continuationSeparator" w:id="1">
    <w:p w:rsidR="00E47E61" w:rsidRDefault="00E47E61" w:rsidP="00E47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E47E61" w:rsidRDefault="00E47E61">
        <w:pPr>
          <w:pStyle w:val="a5"/>
          <w:jc w:val="center"/>
        </w:pPr>
        <w:r w:rsidRPr="00E47E61">
          <w:fldChar w:fldCharType="begin"/>
        </w:r>
        <w:r w:rsidR="00DD0F2B">
          <w:instrText>PAGE   \* MERGEFORMAT</w:instrText>
        </w:r>
        <w:r w:rsidRPr="00E47E61">
          <w:fldChar w:fldCharType="separate"/>
        </w:r>
        <w:r w:rsidR="003B1517" w:rsidRPr="003B1517">
          <w:rPr>
            <w:noProof/>
            <w:lang w:val="zh-CN"/>
          </w:rPr>
          <w:t>2</w:t>
        </w:r>
        <w:r>
          <w:rPr>
            <w:lang w:val="zh-CN"/>
          </w:rPr>
          <w:fldChar w:fldCharType="end"/>
        </w:r>
      </w:p>
    </w:sdtContent>
  </w:sdt>
  <w:p w:rsidR="00E47E61" w:rsidRDefault="00E47E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E61" w:rsidRDefault="00E47E61" w:rsidP="00E47E61">
      <w:r>
        <w:separator/>
      </w:r>
    </w:p>
  </w:footnote>
  <w:footnote w:type="continuationSeparator" w:id="1">
    <w:p w:rsidR="00E47E61" w:rsidRDefault="00E47E61" w:rsidP="00E4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61" w:rsidRDefault="00E47E6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lang w:val="en-US"/>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352A"/>
    <w:rsid w:val="000222C6"/>
    <w:rsid w:val="0002549F"/>
    <w:rsid w:val="00036D79"/>
    <w:rsid w:val="000468DB"/>
    <w:rsid w:val="00062D41"/>
    <w:rsid w:val="0006487A"/>
    <w:rsid w:val="00065F8F"/>
    <w:rsid w:val="00070A43"/>
    <w:rsid w:val="000768F2"/>
    <w:rsid w:val="000830F6"/>
    <w:rsid w:val="00084E7F"/>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14DC"/>
    <w:rsid w:val="00234A5E"/>
    <w:rsid w:val="00235629"/>
    <w:rsid w:val="002547E3"/>
    <w:rsid w:val="00260C38"/>
    <w:rsid w:val="002616C0"/>
    <w:rsid w:val="00265372"/>
    <w:rsid w:val="002662AA"/>
    <w:rsid w:val="00280496"/>
    <w:rsid w:val="00294DC9"/>
    <w:rsid w:val="00295495"/>
    <w:rsid w:val="002A31DE"/>
    <w:rsid w:val="002B2613"/>
    <w:rsid w:val="002D1769"/>
    <w:rsid w:val="002D19B0"/>
    <w:rsid w:val="002D6D05"/>
    <w:rsid w:val="002E67AB"/>
    <w:rsid w:val="002F1818"/>
    <w:rsid w:val="002F567B"/>
    <w:rsid w:val="003216A9"/>
    <w:rsid w:val="0033166C"/>
    <w:rsid w:val="00335A74"/>
    <w:rsid w:val="0036561B"/>
    <w:rsid w:val="0037013F"/>
    <w:rsid w:val="00380C92"/>
    <w:rsid w:val="003A05AC"/>
    <w:rsid w:val="003A484F"/>
    <w:rsid w:val="003A4883"/>
    <w:rsid w:val="003B0BE0"/>
    <w:rsid w:val="003B0C1B"/>
    <w:rsid w:val="003B1517"/>
    <w:rsid w:val="003B688C"/>
    <w:rsid w:val="003C0291"/>
    <w:rsid w:val="003C39AE"/>
    <w:rsid w:val="003C7B60"/>
    <w:rsid w:val="003D0C0F"/>
    <w:rsid w:val="003D1FB2"/>
    <w:rsid w:val="003D66DA"/>
    <w:rsid w:val="003E1310"/>
    <w:rsid w:val="003E6F55"/>
    <w:rsid w:val="00406254"/>
    <w:rsid w:val="00416CD4"/>
    <w:rsid w:val="00420290"/>
    <w:rsid w:val="004223DE"/>
    <w:rsid w:val="00434489"/>
    <w:rsid w:val="00437085"/>
    <w:rsid w:val="0044084F"/>
    <w:rsid w:val="00443880"/>
    <w:rsid w:val="00445624"/>
    <w:rsid w:val="004464F4"/>
    <w:rsid w:val="00471401"/>
    <w:rsid w:val="00473F31"/>
    <w:rsid w:val="00476377"/>
    <w:rsid w:val="0048263A"/>
    <w:rsid w:val="00482A6C"/>
    <w:rsid w:val="00487E5D"/>
    <w:rsid w:val="004A711F"/>
    <w:rsid w:val="004B199D"/>
    <w:rsid w:val="004B4690"/>
    <w:rsid w:val="004E0A2D"/>
    <w:rsid w:val="004E206B"/>
    <w:rsid w:val="004E6DF7"/>
    <w:rsid w:val="004F0FBD"/>
    <w:rsid w:val="004F2500"/>
    <w:rsid w:val="004F403E"/>
    <w:rsid w:val="00502419"/>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3E"/>
    <w:rsid w:val="00614E44"/>
    <w:rsid w:val="0062270A"/>
    <w:rsid w:val="00622830"/>
    <w:rsid w:val="00623DA0"/>
    <w:rsid w:val="00626EAF"/>
    <w:rsid w:val="00630AEF"/>
    <w:rsid w:val="006325F8"/>
    <w:rsid w:val="00633463"/>
    <w:rsid w:val="00634941"/>
    <w:rsid w:val="00634C9A"/>
    <w:rsid w:val="00641ABC"/>
    <w:rsid w:val="006440E4"/>
    <w:rsid w:val="006601C7"/>
    <w:rsid w:val="00661047"/>
    <w:rsid w:val="0066343B"/>
    <w:rsid w:val="00664777"/>
    <w:rsid w:val="006748A4"/>
    <w:rsid w:val="00681A31"/>
    <w:rsid w:val="00683E73"/>
    <w:rsid w:val="006A3141"/>
    <w:rsid w:val="006A5E34"/>
    <w:rsid w:val="006B2422"/>
    <w:rsid w:val="006B2B9A"/>
    <w:rsid w:val="006C1937"/>
    <w:rsid w:val="006D124A"/>
    <w:rsid w:val="006F020C"/>
    <w:rsid w:val="0071197D"/>
    <w:rsid w:val="007127B7"/>
    <w:rsid w:val="0071798E"/>
    <w:rsid w:val="00727533"/>
    <w:rsid w:val="007320D4"/>
    <w:rsid w:val="00740177"/>
    <w:rsid w:val="007416B6"/>
    <w:rsid w:val="00746F48"/>
    <w:rsid w:val="0075404D"/>
    <w:rsid w:val="0076182A"/>
    <w:rsid w:val="00767B7E"/>
    <w:rsid w:val="00776817"/>
    <w:rsid w:val="007770C3"/>
    <w:rsid w:val="00784D24"/>
    <w:rsid w:val="00785FBA"/>
    <w:rsid w:val="00786E4A"/>
    <w:rsid w:val="007875EB"/>
    <w:rsid w:val="0079426B"/>
    <w:rsid w:val="007A262E"/>
    <w:rsid w:val="007B136C"/>
    <w:rsid w:val="007D1682"/>
    <w:rsid w:val="007D312A"/>
    <w:rsid w:val="007D3F19"/>
    <w:rsid w:val="007E23B0"/>
    <w:rsid w:val="007E5090"/>
    <w:rsid w:val="007F1991"/>
    <w:rsid w:val="007F247A"/>
    <w:rsid w:val="007F2C2F"/>
    <w:rsid w:val="007F55FC"/>
    <w:rsid w:val="007F5665"/>
    <w:rsid w:val="00800112"/>
    <w:rsid w:val="00813348"/>
    <w:rsid w:val="008253BB"/>
    <w:rsid w:val="008254E0"/>
    <w:rsid w:val="00833962"/>
    <w:rsid w:val="0083706E"/>
    <w:rsid w:val="008408F6"/>
    <w:rsid w:val="008423A5"/>
    <w:rsid w:val="00850625"/>
    <w:rsid w:val="00853718"/>
    <w:rsid w:val="00855221"/>
    <w:rsid w:val="00860645"/>
    <w:rsid w:val="00871F71"/>
    <w:rsid w:val="00872FD8"/>
    <w:rsid w:val="00883B87"/>
    <w:rsid w:val="00885AF4"/>
    <w:rsid w:val="008939CD"/>
    <w:rsid w:val="008B768C"/>
    <w:rsid w:val="008C4B3C"/>
    <w:rsid w:val="008C4DB1"/>
    <w:rsid w:val="008C4EAF"/>
    <w:rsid w:val="008C5176"/>
    <w:rsid w:val="008C7FD0"/>
    <w:rsid w:val="008D64B3"/>
    <w:rsid w:val="008E1DE7"/>
    <w:rsid w:val="008E405A"/>
    <w:rsid w:val="008E568D"/>
    <w:rsid w:val="008E707C"/>
    <w:rsid w:val="00900B08"/>
    <w:rsid w:val="00902155"/>
    <w:rsid w:val="00902FA3"/>
    <w:rsid w:val="00915D61"/>
    <w:rsid w:val="00923564"/>
    <w:rsid w:val="0092392E"/>
    <w:rsid w:val="0092577A"/>
    <w:rsid w:val="009315F9"/>
    <w:rsid w:val="00933499"/>
    <w:rsid w:val="0093375A"/>
    <w:rsid w:val="00935C98"/>
    <w:rsid w:val="00946945"/>
    <w:rsid w:val="00951248"/>
    <w:rsid w:val="0095152F"/>
    <w:rsid w:val="00954C49"/>
    <w:rsid w:val="00955E37"/>
    <w:rsid w:val="0097099F"/>
    <w:rsid w:val="00971997"/>
    <w:rsid w:val="00971FFC"/>
    <w:rsid w:val="0098660A"/>
    <w:rsid w:val="009931C3"/>
    <w:rsid w:val="009B27D5"/>
    <w:rsid w:val="009B2C43"/>
    <w:rsid w:val="009B4EAE"/>
    <w:rsid w:val="009B7573"/>
    <w:rsid w:val="009C22F4"/>
    <w:rsid w:val="009C2E98"/>
    <w:rsid w:val="009C31F6"/>
    <w:rsid w:val="009C37FB"/>
    <w:rsid w:val="009D3447"/>
    <w:rsid w:val="009D401E"/>
    <w:rsid w:val="009D4711"/>
    <w:rsid w:val="009E7248"/>
    <w:rsid w:val="009F1185"/>
    <w:rsid w:val="009F18CD"/>
    <w:rsid w:val="009F2A13"/>
    <w:rsid w:val="009F7527"/>
    <w:rsid w:val="00A039ED"/>
    <w:rsid w:val="00A04EB0"/>
    <w:rsid w:val="00A13CC1"/>
    <w:rsid w:val="00A160A5"/>
    <w:rsid w:val="00A16847"/>
    <w:rsid w:val="00A237D8"/>
    <w:rsid w:val="00A268C4"/>
    <w:rsid w:val="00A307CD"/>
    <w:rsid w:val="00A331C8"/>
    <w:rsid w:val="00A35117"/>
    <w:rsid w:val="00A40A00"/>
    <w:rsid w:val="00A4142F"/>
    <w:rsid w:val="00A422EB"/>
    <w:rsid w:val="00A45BB7"/>
    <w:rsid w:val="00A56DF2"/>
    <w:rsid w:val="00A56E6E"/>
    <w:rsid w:val="00A62F65"/>
    <w:rsid w:val="00A67AB5"/>
    <w:rsid w:val="00A733B2"/>
    <w:rsid w:val="00A741C2"/>
    <w:rsid w:val="00A91760"/>
    <w:rsid w:val="00A93B00"/>
    <w:rsid w:val="00A93C21"/>
    <w:rsid w:val="00AB5405"/>
    <w:rsid w:val="00AB64C9"/>
    <w:rsid w:val="00AC3C6A"/>
    <w:rsid w:val="00AD0F83"/>
    <w:rsid w:val="00AD5620"/>
    <w:rsid w:val="00AD656B"/>
    <w:rsid w:val="00AD7C1B"/>
    <w:rsid w:val="00AE16BA"/>
    <w:rsid w:val="00AE1EBE"/>
    <w:rsid w:val="00AE3A15"/>
    <w:rsid w:val="00AE4004"/>
    <w:rsid w:val="00AE46E5"/>
    <w:rsid w:val="00AF0A28"/>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5C8B"/>
    <w:rsid w:val="00BC6B50"/>
    <w:rsid w:val="00BD0E25"/>
    <w:rsid w:val="00BD528C"/>
    <w:rsid w:val="00BF2E2B"/>
    <w:rsid w:val="00BF5BD6"/>
    <w:rsid w:val="00C03E31"/>
    <w:rsid w:val="00C30E69"/>
    <w:rsid w:val="00C33E72"/>
    <w:rsid w:val="00C354B2"/>
    <w:rsid w:val="00C35554"/>
    <w:rsid w:val="00C42709"/>
    <w:rsid w:val="00C533CC"/>
    <w:rsid w:val="00C5751C"/>
    <w:rsid w:val="00C61BFC"/>
    <w:rsid w:val="00C62B85"/>
    <w:rsid w:val="00C65438"/>
    <w:rsid w:val="00C91CBB"/>
    <w:rsid w:val="00C9295A"/>
    <w:rsid w:val="00CB4E70"/>
    <w:rsid w:val="00CB56D7"/>
    <w:rsid w:val="00CB58A0"/>
    <w:rsid w:val="00CC09B6"/>
    <w:rsid w:val="00CC666F"/>
    <w:rsid w:val="00CD1D28"/>
    <w:rsid w:val="00CD1E3F"/>
    <w:rsid w:val="00CE44F6"/>
    <w:rsid w:val="00CE49DA"/>
    <w:rsid w:val="00CE7B61"/>
    <w:rsid w:val="00D00095"/>
    <w:rsid w:val="00D0672C"/>
    <w:rsid w:val="00D114F0"/>
    <w:rsid w:val="00D20620"/>
    <w:rsid w:val="00D254F7"/>
    <w:rsid w:val="00D26091"/>
    <w:rsid w:val="00D2685C"/>
    <w:rsid w:val="00D34E7C"/>
    <w:rsid w:val="00D35489"/>
    <w:rsid w:val="00D36AFE"/>
    <w:rsid w:val="00D4274D"/>
    <w:rsid w:val="00D46D4D"/>
    <w:rsid w:val="00D51276"/>
    <w:rsid w:val="00D555DC"/>
    <w:rsid w:val="00D666D4"/>
    <w:rsid w:val="00D7035F"/>
    <w:rsid w:val="00DA0723"/>
    <w:rsid w:val="00DA634F"/>
    <w:rsid w:val="00DA65AC"/>
    <w:rsid w:val="00DB1913"/>
    <w:rsid w:val="00DC410D"/>
    <w:rsid w:val="00DC5A81"/>
    <w:rsid w:val="00DC68CA"/>
    <w:rsid w:val="00DC7CBA"/>
    <w:rsid w:val="00DD73B7"/>
    <w:rsid w:val="00DF28BC"/>
    <w:rsid w:val="00DF34B9"/>
    <w:rsid w:val="00E00DE6"/>
    <w:rsid w:val="00E01053"/>
    <w:rsid w:val="00E07ACF"/>
    <w:rsid w:val="00E1248B"/>
    <w:rsid w:val="00E15AE5"/>
    <w:rsid w:val="00E331A1"/>
    <w:rsid w:val="00E33202"/>
    <w:rsid w:val="00E336A9"/>
    <w:rsid w:val="00E472B1"/>
    <w:rsid w:val="00E479C6"/>
    <w:rsid w:val="00E47E61"/>
    <w:rsid w:val="00E50624"/>
    <w:rsid w:val="00E512DE"/>
    <w:rsid w:val="00E52B03"/>
    <w:rsid w:val="00E568DF"/>
    <w:rsid w:val="00E64269"/>
    <w:rsid w:val="00E66797"/>
    <w:rsid w:val="00E82267"/>
    <w:rsid w:val="00E853CE"/>
    <w:rsid w:val="00E867B6"/>
    <w:rsid w:val="00E87F08"/>
    <w:rsid w:val="00EA010F"/>
    <w:rsid w:val="00EC196F"/>
    <w:rsid w:val="00ED1B63"/>
    <w:rsid w:val="00ED3C1F"/>
    <w:rsid w:val="00ED4085"/>
    <w:rsid w:val="00ED420E"/>
    <w:rsid w:val="00ED6FBE"/>
    <w:rsid w:val="00EE1DE0"/>
    <w:rsid w:val="00EE2F57"/>
    <w:rsid w:val="00EF4C34"/>
    <w:rsid w:val="00EF77C6"/>
    <w:rsid w:val="00F05438"/>
    <w:rsid w:val="00F1361C"/>
    <w:rsid w:val="00F156F0"/>
    <w:rsid w:val="00F160C7"/>
    <w:rsid w:val="00F2408F"/>
    <w:rsid w:val="00F240E9"/>
    <w:rsid w:val="00F36864"/>
    <w:rsid w:val="00F36D8F"/>
    <w:rsid w:val="00F417B1"/>
    <w:rsid w:val="00F45853"/>
    <w:rsid w:val="00F5122E"/>
    <w:rsid w:val="00F602DF"/>
    <w:rsid w:val="00F754A1"/>
    <w:rsid w:val="00F81FD9"/>
    <w:rsid w:val="00F841AA"/>
    <w:rsid w:val="00F84A94"/>
    <w:rsid w:val="00F87E96"/>
    <w:rsid w:val="00FA0E4C"/>
    <w:rsid w:val="00FA23E8"/>
    <w:rsid w:val="00FB21E3"/>
    <w:rsid w:val="00FD08EF"/>
    <w:rsid w:val="00FD3CC1"/>
    <w:rsid w:val="00FD4295"/>
    <w:rsid w:val="00FF1E02"/>
    <w:rsid w:val="00FF30B4"/>
    <w:rsid w:val="10C055FF"/>
    <w:rsid w:val="16BB723D"/>
    <w:rsid w:val="240371BF"/>
    <w:rsid w:val="29FD04D3"/>
    <w:rsid w:val="30B70B85"/>
    <w:rsid w:val="319F7F4E"/>
    <w:rsid w:val="40BC1805"/>
    <w:rsid w:val="4ECE2238"/>
    <w:rsid w:val="693E469C"/>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61"/>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47E6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47E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47E6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47E61"/>
    <w:pPr>
      <w:spacing w:beforeLines="30"/>
    </w:pPr>
    <w:rPr>
      <w:rFonts w:ascii="仿宋_GB2312" w:eastAsia="仿宋_GB2312"/>
      <w:kern w:val="0"/>
      <w:sz w:val="30"/>
    </w:rPr>
  </w:style>
  <w:style w:type="paragraph" w:styleId="30">
    <w:name w:val="toc 3"/>
    <w:basedOn w:val="a"/>
    <w:next w:val="a"/>
    <w:uiPriority w:val="39"/>
    <w:unhideWhenUsed/>
    <w:qFormat/>
    <w:rsid w:val="00E47E61"/>
    <w:pPr>
      <w:tabs>
        <w:tab w:val="right" w:leader="dot" w:pos="8296"/>
      </w:tabs>
      <w:ind w:leftChars="400" w:left="840"/>
    </w:pPr>
  </w:style>
  <w:style w:type="paragraph" w:styleId="a4">
    <w:name w:val="Balloon Text"/>
    <w:basedOn w:val="a"/>
    <w:link w:val="Char0"/>
    <w:uiPriority w:val="99"/>
    <w:unhideWhenUsed/>
    <w:qFormat/>
    <w:rsid w:val="00E47E61"/>
    <w:rPr>
      <w:sz w:val="18"/>
      <w:szCs w:val="18"/>
    </w:rPr>
  </w:style>
  <w:style w:type="paragraph" w:styleId="a5">
    <w:name w:val="footer"/>
    <w:basedOn w:val="a"/>
    <w:link w:val="Char1"/>
    <w:uiPriority w:val="99"/>
    <w:qFormat/>
    <w:rsid w:val="00E47E61"/>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E47E6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47E61"/>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47E61"/>
    <w:pPr>
      <w:tabs>
        <w:tab w:val="right" w:leader="dot" w:pos="8296"/>
      </w:tabs>
      <w:ind w:leftChars="200" w:left="420"/>
    </w:pPr>
  </w:style>
  <w:style w:type="character" w:styleId="a7">
    <w:name w:val="Strong"/>
    <w:basedOn w:val="a0"/>
    <w:uiPriority w:val="99"/>
    <w:qFormat/>
    <w:rsid w:val="00E47E61"/>
    <w:rPr>
      <w:b/>
    </w:rPr>
  </w:style>
  <w:style w:type="character" w:styleId="a8">
    <w:name w:val="Hyperlink"/>
    <w:basedOn w:val="a0"/>
    <w:uiPriority w:val="99"/>
    <w:unhideWhenUsed/>
    <w:qFormat/>
    <w:rsid w:val="00E47E61"/>
    <w:rPr>
      <w:color w:val="0000FF" w:themeColor="hyperlink"/>
      <w:u w:val="single"/>
    </w:rPr>
  </w:style>
  <w:style w:type="character" w:customStyle="1" w:styleId="HeaderChar">
    <w:name w:val="Header Char"/>
    <w:basedOn w:val="a0"/>
    <w:uiPriority w:val="99"/>
    <w:semiHidden/>
    <w:qFormat/>
    <w:rsid w:val="00E47E61"/>
    <w:rPr>
      <w:rFonts w:ascii="Times New Roman" w:hAnsi="Times New Roman"/>
      <w:sz w:val="18"/>
      <w:szCs w:val="18"/>
    </w:rPr>
  </w:style>
  <w:style w:type="character" w:customStyle="1" w:styleId="Char2">
    <w:name w:val="页眉 Char"/>
    <w:link w:val="a6"/>
    <w:uiPriority w:val="99"/>
    <w:semiHidden/>
    <w:qFormat/>
    <w:locked/>
    <w:rsid w:val="00E47E61"/>
    <w:rPr>
      <w:sz w:val="18"/>
    </w:rPr>
  </w:style>
  <w:style w:type="character" w:customStyle="1" w:styleId="FooterChar">
    <w:name w:val="Footer Char"/>
    <w:basedOn w:val="a0"/>
    <w:uiPriority w:val="99"/>
    <w:semiHidden/>
    <w:qFormat/>
    <w:rsid w:val="00E47E61"/>
    <w:rPr>
      <w:rFonts w:ascii="Times New Roman" w:hAnsi="Times New Roman"/>
      <w:sz w:val="18"/>
      <w:szCs w:val="18"/>
    </w:rPr>
  </w:style>
  <w:style w:type="character" w:customStyle="1" w:styleId="Char1">
    <w:name w:val="页脚 Char"/>
    <w:link w:val="a5"/>
    <w:uiPriority w:val="99"/>
    <w:qFormat/>
    <w:locked/>
    <w:rsid w:val="00E47E61"/>
    <w:rPr>
      <w:sz w:val="18"/>
    </w:rPr>
  </w:style>
  <w:style w:type="character" w:customStyle="1" w:styleId="BodyTextChar">
    <w:name w:val="Body Text Char"/>
    <w:basedOn w:val="a0"/>
    <w:uiPriority w:val="99"/>
    <w:semiHidden/>
    <w:qFormat/>
    <w:rsid w:val="00E47E61"/>
    <w:rPr>
      <w:rFonts w:ascii="Times New Roman" w:hAnsi="Times New Roman"/>
      <w:szCs w:val="24"/>
    </w:rPr>
  </w:style>
  <w:style w:type="character" w:customStyle="1" w:styleId="Char">
    <w:name w:val="正文文本 Char"/>
    <w:link w:val="a3"/>
    <w:uiPriority w:val="99"/>
    <w:qFormat/>
    <w:locked/>
    <w:rsid w:val="00E47E61"/>
    <w:rPr>
      <w:rFonts w:ascii="仿宋_GB2312" w:eastAsia="仿宋_GB2312" w:hAnsi="Times New Roman"/>
      <w:sz w:val="24"/>
    </w:rPr>
  </w:style>
  <w:style w:type="paragraph" w:customStyle="1" w:styleId="Default">
    <w:name w:val="Default"/>
    <w:uiPriority w:val="99"/>
    <w:qFormat/>
    <w:rsid w:val="00E47E61"/>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E47E61"/>
    <w:pPr>
      <w:ind w:firstLineChars="200" w:firstLine="420"/>
    </w:pPr>
  </w:style>
  <w:style w:type="character" w:customStyle="1" w:styleId="1Char">
    <w:name w:val="标题 1 Char"/>
    <w:basedOn w:val="a0"/>
    <w:link w:val="1"/>
    <w:uiPriority w:val="9"/>
    <w:qFormat/>
    <w:rsid w:val="00E47E61"/>
    <w:rPr>
      <w:rFonts w:ascii="Times New Roman" w:hAnsi="Times New Roman"/>
      <w:b/>
      <w:bCs/>
      <w:kern w:val="44"/>
      <w:sz w:val="44"/>
      <w:szCs w:val="44"/>
    </w:rPr>
  </w:style>
  <w:style w:type="character" w:customStyle="1" w:styleId="2Char">
    <w:name w:val="标题 2 Char"/>
    <w:basedOn w:val="a0"/>
    <w:link w:val="2"/>
    <w:uiPriority w:val="9"/>
    <w:qFormat/>
    <w:rsid w:val="00E47E61"/>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E47E6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E47E61"/>
    <w:rPr>
      <w:rFonts w:ascii="Times New Roman" w:hAnsi="Times New Roman"/>
      <w:kern w:val="2"/>
      <w:sz w:val="18"/>
      <w:szCs w:val="18"/>
    </w:rPr>
  </w:style>
  <w:style w:type="character" w:customStyle="1" w:styleId="3Char">
    <w:name w:val="标题 3 Char"/>
    <w:basedOn w:val="a0"/>
    <w:link w:val="3"/>
    <w:uiPriority w:val="9"/>
    <w:qFormat/>
    <w:rsid w:val="00E47E61"/>
    <w:rPr>
      <w:rFonts w:ascii="Times New Roman" w:hAnsi="Times New Roman"/>
      <w:b/>
      <w:bCs/>
      <w:kern w:val="2"/>
      <w:sz w:val="32"/>
      <w:szCs w:val="32"/>
    </w:rPr>
  </w:style>
  <w:style w:type="paragraph" w:customStyle="1" w:styleId="TOC2">
    <w:name w:val="TOC 标题2"/>
    <w:basedOn w:val="1"/>
    <w:next w:val="a"/>
    <w:uiPriority w:val="39"/>
    <w:unhideWhenUsed/>
    <w:qFormat/>
    <w:rsid w:val="00E47E6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H:\2019&#24180;&#37096;&#38376;&#20915;&#31639;&#20844;&#24320;\2019&#24180;&#20915;&#31639;&#20844;&#24320;&#32534;&#21046;&#35828;&#26126;&#19978;&#19979;&#24180;&#25968;&#25454;&#23545;&#27604;&#22270;&#34920;&#27169;&#2649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019&#24180;&#37096;&#38376;&#20915;&#31639;&#20844;&#24320;\2019&#24180;&#20915;&#31639;&#20844;&#24320;&#32534;&#21046;&#35828;&#26126;&#19978;&#19979;&#24180;&#25968;&#25454;&#23545;&#27604;&#22270;&#34920;&#27169;&#2649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019&#24180;&#37096;&#38376;&#20915;&#31639;&#20844;&#24320;\2019&#24180;&#20915;&#31639;&#20844;&#24320;&#32534;&#21046;&#35828;&#26126;&#19978;&#19979;&#24180;&#25968;&#25454;&#23545;&#27604;&#22270;&#34920;&#27169;&#2649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019&#24180;&#37096;&#38376;&#20915;&#31639;&#20844;&#24320;\2019&#24180;&#20915;&#31639;&#20844;&#24320;&#32534;&#21046;&#35828;&#26126;&#19978;&#19979;&#24180;&#25968;&#25454;&#23545;&#27604;&#22270;&#34920;&#27169;&#2649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019&#24180;&#37096;&#38376;&#20915;&#31639;&#20844;&#24320;\2019&#24180;&#20915;&#31639;&#20844;&#24320;&#32534;&#21046;&#35828;&#26126;&#19978;&#19979;&#24180;&#25968;&#25454;&#23545;&#27604;&#22270;&#34920;&#27169;&#2649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2019&#24180;&#37096;&#38376;&#20915;&#31639;&#20844;&#24320;\2019&#24180;&#20915;&#31639;&#20844;&#24320;&#32534;&#21046;&#35828;&#26126;&#19978;&#19979;&#24180;&#25968;&#25454;&#23545;&#27604;&#22270;&#34920;&#27169;&#2649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2019&#24180;&#37096;&#38376;&#20915;&#31639;&#20844;&#24320;\2019&#24180;&#20915;&#31639;&#20844;&#24320;&#32534;&#21046;&#35828;&#26126;&#19978;&#19979;&#24180;&#25968;&#25454;&#23545;&#27604;&#22270;&#34920;&#27169;&#264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图</a:t>
            </a:r>
            <a:r>
              <a:rPr lang="en-US"/>
              <a:t>1</a:t>
            </a:r>
            <a:r>
              <a:rPr lang="zh-CN"/>
              <a:t>：收、支决算总计变动情况图</a:t>
            </a:r>
          </a:p>
        </c:rich>
      </c:tx>
      <c:layout>
        <c:manualLayout>
          <c:xMode val="edge"/>
          <c:yMode val="edge"/>
          <c:x val="0.13177083770390199"/>
          <c:y val="2.7777963924722211E-2"/>
        </c:manualLayout>
      </c:layout>
    </c:title>
    <c:plotArea>
      <c:layout>
        <c:manualLayout>
          <c:layoutTarget val="inner"/>
          <c:xMode val="edge"/>
          <c:yMode val="edge"/>
          <c:x val="8.7307125283372713E-2"/>
          <c:y val="0.12718967086576299"/>
          <c:w val="0.77087033747779921"/>
          <c:h val="0.71631453732594097"/>
        </c:manualLayout>
      </c:layout>
      <c:barChart>
        <c:barDir val="col"/>
        <c:grouping val="clustered"/>
        <c:ser>
          <c:idx val="0"/>
          <c:order val="0"/>
          <c:tx>
            <c:strRef>
              <c:f>Sheet1!$A$9</c:f>
              <c:strCache>
                <c:ptCount val="1"/>
                <c:pt idx="0">
                  <c:v>2018年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Sheet1!$B$8:$C$8</c:f>
              <c:strCache>
                <c:ptCount val="2"/>
                <c:pt idx="0">
                  <c:v>收入总计（万元）</c:v>
                </c:pt>
                <c:pt idx="1">
                  <c:v>支出总计（万元）</c:v>
                </c:pt>
              </c:strCache>
            </c:strRef>
          </c:cat>
          <c:val>
            <c:numRef>
              <c:f>Sheet1!$B$9:$C$9</c:f>
              <c:numCache>
                <c:formatCode>General</c:formatCode>
                <c:ptCount val="2"/>
                <c:pt idx="0">
                  <c:v>1443.97</c:v>
                </c:pt>
                <c:pt idx="1">
                  <c:v>1443.97</c:v>
                </c:pt>
              </c:numCache>
            </c:numRef>
          </c:val>
        </c:ser>
        <c:ser>
          <c:idx val="1"/>
          <c:order val="1"/>
          <c:tx>
            <c:strRef>
              <c:f>Sheet1!$A$10</c:f>
              <c:strCache>
                <c:ptCount val="1"/>
                <c:pt idx="0">
                  <c:v>2019年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Sheet1!$B$8:$C$8</c:f>
              <c:strCache>
                <c:ptCount val="2"/>
                <c:pt idx="0">
                  <c:v>收入总计（万元）</c:v>
                </c:pt>
                <c:pt idx="1">
                  <c:v>支出总计（万元）</c:v>
                </c:pt>
              </c:strCache>
            </c:strRef>
          </c:cat>
          <c:val>
            <c:numRef>
              <c:f>Sheet1!$B$10:$C$10</c:f>
              <c:numCache>
                <c:formatCode>General</c:formatCode>
                <c:ptCount val="2"/>
                <c:pt idx="0">
                  <c:v>2324.9900000000002</c:v>
                </c:pt>
                <c:pt idx="1">
                  <c:v>2324.9900000000002</c:v>
                </c:pt>
              </c:numCache>
            </c:numRef>
          </c:val>
        </c:ser>
        <c:dLbls>
          <c:showVal val="1"/>
        </c:dLbls>
        <c:axId val="56283136"/>
        <c:axId val="56284672"/>
      </c:barChart>
      <c:catAx>
        <c:axId val="56283136"/>
        <c:scaling>
          <c:orientation val="minMax"/>
        </c:scaling>
        <c:axPos val="b"/>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6284672"/>
        <c:crosses val="autoZero"/>
        <c:auto val="1"/>
        <c:lblAlgn val="ctr"/>
        <c:lblOffset val="100"/>
      </c:catAx>
      <c:valAx>
        <c:axId val="56284672"/>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6283136"/>
        <c:crosses val="autoZero"/>
        <c:crossBetween val="between"/>
      </c:valAx>
      <c:spPr>
        <a:solidFill>
          <a:schemeClr val="bg1"/>
        </a:solidFill>
        <a:ln>
          <a:noFill/>
        </a:ln>
        <a:effectLst/>
      </c:spPr>
    </c:plotArea>
    <c:legend>
      <c:legendPos val="r"/>
      <c:layout>
        <c:manualLayout>
          <c:xMode val="edge"/>
          <c:yMode val="edge"/>
          <c:x val="0.87921847246891716"/>
          <c:y val="0.47163269484931403"/>
          <c:w val="0.10124333925399601"/>
          <c:h val="0.15957484037899503"/>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layout>
        <c:manualLayout>
          <c:xMode val="edge"/>
          <c:yMode val="edge"/>
          <c:x val="0.38920128317293706"/>
          <c:y val="2.5008995537278908E-2"/>
        </c:manualLayout>
      </c:layout>
      <c:spPr>
        <a:noFill/>
        <a:ln w="25400">
          <a:noFill/>
        </a:ln>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manualLayout>
          <c:layoutTarget val="inner"/>
          <c:xMode val="edge"/>
          <c:yMode val="edge"/>
          <c:x val="0.24281999812591704"/>
          <c:y val="0.21138267324767399"/>
          <c:w val="0.40600548073742004"/>
          <c:h val="0.52574664884678002"/>
        </c:manualLayout>
      </c:layout>
      <c:pieChart>
        <c:varyColors val="1"/>
        <c:ser>
          <c:idx val="0"/>
          <c:order val="0"/>
          <c:tx>
            <c:strRef>
              <c:f>Sheet1!$A$22</c:f>
              <c:strCache>
                <c:ptCount val="1"/>
                <c:pt idx="0">
                  <c:v>图2：收入决算结构图</c:v>
                </c:pt>
              </c:strCache>
            </c:strRef>
          </c:tx>
          <c:dPt>
            <c:idx val="0"/>
            <c:explosion val="2"/>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Pt>
            <c:idx val="5"/>
            <c:spPr>
              <a:solidFill>
                <a:schemeClr val="accent6"/>
              </a:solidFill>
              <a:ln w="25400">
                <a:solidFill>
                  <a:schemeClr val="lt1"/>
                </a:solidFill>
              </a:ln>
              <a:effectLst/>
              <a:sp3d contourW="25400">
                <a:contourClr>
                  <a:schemeClr val="lt1"/>
                </a:contourClr>
              </a:sp3d>
            </c:spPr>
          </c:dPt>
          <c:dPt>
            <c:idx val="6"/>
            <c:spPr>
              <a:solidFill>
                <a:schemeClr val="accent1">
                  <a:lumMod val="60000"/>
                </a:schemeClr>
              </a:solidFill>
              <a:ln w="25400">
                <a:solidFill>
                  <a:schemeClr val="lt1"/>
                </a:solidFill>
              </a:ln>
              <a:effectLst/>
              <a:sp3d contourW="25400">
                <a:contourClr>
                  <a:schemeClr val="lt1"/>
                </a:contourClr>
              </a:sp3d>
            </c:spPr>
          </c:dPt>
          <c:dLbls>
            <c:spPr>
              <a:noFill/>
              <a:ln w="25400">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Sheet1!$C$23:$I$23</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Sheet1!$C$25:$I$25</c:f>
              <c:numCache>
                <c:formatCode>0.00%</c:formatCode>
                <c:ptCount val="7"/>
                <c:pt idx="0">
                  <c:v>0.99845581435361408</c:v>
                </c:pt>
                <c:pt idx="1">
                  <c:v>0</c:v>
                </c:pt>
                <c:pt idx="2">
                  <c:v>0</c:v>
                </c:pt>
                <c:pt idx="3">
                  <c:v>0</c:v>
                </c:pt>
                <c:pt idx="4">
                  <c:v>0</c:v>
                </c:pt>
                <c:pt idx="5">
                  <c:v>0</c:v>
                </c:pt>
                <c:pt idx="6">
                  <c:v>1.5484869991612405E-3</c:v>
                </c:pt>
              </c:numCache>
            </c:numRef>
          </c:val>
        </c:ser>
        <c:ser>
          <c:idx val="1"/>
          <c:order val="1"/>
          <c:dPt>
            <c:idx val="0"/>
            <c:spPr>
              <a:solidFill>
                <a:schemeClr val="accent1"/>
              </a:solidFill>
              <a:ln w="25400">
                <a:solidFill>
                  <a:schemeClr val="lt1"/>
                </a:solidFill>
              </a:ln>
              <a:effectLst/>
              <a:sp3d contourW="25400">
                <a:contourClr>
                  <a:schemeClr val="lt1"/>
                </a:contourClr>
              </a:sp3d>
            </c:spPr>
          </c:dPt>
          <c:cat>
            <c:strRef>
              <c:f>Sheet1!$C$23:$I$23</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{1}</c:f>
              <c:numCache>
                <c:formatCode>General</c:formatCode>
                <c:ptCount val="1"/>
                <c:pt idx="0">
                  <c:v>1</c:v>
                </c:pt>
              </c:numCache>
            </c:numRef>
          </c:val>
        </c:ser>
        <c:dLbls/>
        <c:firstSliceAng val="15"/>
      </c:pieChart>
      <c:spPr>
        <a:noFill/>
        <a:ln>
          <a:noFill/>
        </a:ln>
        <a:effectLst/>
      </c:spPr>
    </c:plotArea>
    <c:legend>
      <c:legendPos val="r"/>
      <c:layout>
        <c:manualLayout>
          <c:xMode val="edge"/>
          <c:yMode val="edge"/>
          <c:x val="0.71671056673471401"/>
          <c:y val="0.33062423576874911"/>
          <c:w val="0.24673642461359002"/>
          <c:h val="0.42547536157386912"/>
        </c:manualLayout>
      </c:layout>
      <c:spPr>
        <a:noFill/>
        <a:ln w="25400">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layout/>
      <c:spPr>
        <a:noFill/>
        <a:ln w="25400">
          <a:noFill/>
        </a:ln>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manualLayout>
          <c:layoutTarget val="inner"/>
          <c:xMode val="edge"/>
          <c:yMode val="edge"/>
          <c:x val="9.8880597014925395E-2"/>
          <c:y val="0.23574144486692108"/>
          <c:w val="0.51305970149253699"/>
          <c:h val="0.65399239543726195"/>
        </c:manualLayout>
      </c:layout>
      <c:pieChart>
        <c:varyColors val="1"/>
        <c:ser>
          <c:idx val="0"/>
          <c:order val="0"/>
          <c:tx>
            <c:strRef>
              <c:f>Sheet1!$A$42</c:f>
              <c:strCache>
                <c:ptCount val="1"/>
                <c:pt idx="0">
                  <c:v>图3：支出决算结构图</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Lbls>
            <c:spPr>
              <a:noFill/>
              <a:ln w="25400">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Sheet1!$C$43:$H$43</c:f>
              <c:strCache>
                <c:ptCount val="5"/>
                <c:pt idx="0">
                  <c:v>基本支出</c:v>
                </c:pt>
                <c:pt idx="1">
                  <c:v>项目支出</c:v>
                </c:pt>
                <c:pt idx="2">
                  <c:v>上缴上级支出</c:v>
                </c:pt>
                <c:pt idx="3">
                  <c:v>经营支出</c:v>
                </c:pt>
                <c:pt idx="4">
                  <c:v>对附属单位补助支出</c:v>
                </c:pt>
              </c:strCache>
            </c:strRef>
          </c:cat>
          <c:val>
            <c:numRef>
              <c:f>Sheet1!$C$44:$G$44</c:f>
              <c:numCache>
                <c:formatCode>General</c:formatCode>
                <c:ptCount val="5"/>
                <c:pt idx="0">
                  <c:v>1340.8</c:v>
                </c:pt>
                <c:pt idx="1">
                  <c:v>963.84999999999991</c:v>
                </c:pt>
                <c:pt idx="2">
                  <c:v>0</c:v>
                </c:pt>
                <c:pt idx="3">
                  <c:v>0</c:v>
                </c:pt>
                <c:pt idx="4">
                  <c:v>0</c:v>
                </c:pt>
              </c:numCache>
            </c:numRef>
          </c:val>
        </c:ser>
        <c:dLbls>
          <c:showPercent val="1"/>
        </c:dLbls>
        <c:firstSliceAng val="15"/>
      </c:pieChart>
      <c:spPr>
        <a:noFill/>
        <a:ln>
          <a:noFill/>
        </a:ln>
        <a:effectLst/>
      </c:spPr>
    </c:plotArea>
    <c:legend>
      <c:legendPos val="r"/>
      <c:layout>
        <c:manualLayout>
          <c:xMode val="edge"/>
          <c:yMode val="edge"/>
          <c:x val="0.72014925373134409"/>
          <c:y val="0.34600760456273799"/>
          <c:w val="0.240671641791045"/>
          <c:h val="0.4258555133079851"/>
        </c:manualLayout>
      </c:layout>
      <c:spPr>
        <a:noFill/>
        <a:ln w="25400">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图4：财政拨款收、支决算总计变动情况 </a:t>
            </a:r>
          </a:p>
        </c:rich>
      </c:tx>
      <c:layout/>
      <c:spPr>
        <a:noFill/>
        <a:ln w="25400">
          <a:noFill/>
        </a:ln>
      </c:spPr>
    </c:title>
    <c:plotArea>
      <c:layout>
        <c:manualLayout>
          <c:layoutTarget val="inner"/>
          <c:xMode val="edge"/>
          <c:yMode val="edge"/>
          <c:x val="7.4166082180903856E-2"/>
          <c:y val="0.14666703504167242"/>
          <c:w val="0.79620975916049508"/>
          <c:h val="0.73333572049388318"/>
        </c:manualLayout>
      </c:layout>
      <c:barChart>
        <c:barDir val="col"/>
        <c:grouping val="clustered"/>
        <c:ser>
          <c:idx val="0"/>
          <c:order val="0"/>
          <c:tx>
            <c:strRef>
              <c:f>Sheet1!$A$58</c:f>
              <c:strCache>
                <c:ptCount val="1"/>
                <c:pt idx="0">
                  <c:v>2018年</c:v>
                </c:pt>
              </c:strCache>
            </c:strRef>
          </c:tx>
          <c:spPr>
            <a:solidFill>
              <a:srgbClr val="5B9BD5"/>
            </a:solidFill>
            <a:ln w="25400">
              <a:noFill/>
            </a:ln>
          </c:spPr>
          <c:dLbls>
            <c:spPr>
              <a:noFill/>
              <a:ln w="25400">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Sheet1!$B$57:$C$57</c:f>
              <c:strCache>
                <c:ptCount val="2"/>
                <c:pt idx="0">
                  <c:v>财政拨款收入总计（万元）</c:v>
                </c:pt>
                <c:pt idx="1">
                  <c:v>财政拨款支出总计（万元）</c:v>
                </c:pt>
              </c:strCache>
            </c:strRef>
          </c:cat>
          <c:val>
            <c:numRef>
              <c:f>Sheet1!$B$58:$C$58</c:f>
              <c:numCache>
                <c:formatCode>General</c:formatCode>
                <c:ptCount val="2"/>
                <c:pt idx="0">
                  <c:v>1442.82</c:v>
                </c:pt>
                <c:pt idx="1">
                  <c:v>1442.82</c:v>
                </c:pt>
              </c:numCache>
            </c:numRef>
          </c:val>
        </c:ser>
        <c:ser>
          <c:idx val="1"/>
          <c:order val="1"/>
          <c:tx>
            <c:strRef>
              <c:f>Sheet1!$A$59</c:f>
              <c:strCache>
                <c:ptCount val="1"/>
                <c:pt idx="0">
                  <c:v>2019年</c:v>
                </c:pt>
              </c:strCache>
            </c:strRef>
          </c:tx>
          <c:spPr>
            <a:solidFill>
              <a:srgbClr val="ED7D31"/>
            </a:solidFill>
            <a:ln w="25400">
              <a:noFill/>
            </a:ln>
          </c:spPr>
          <c:dLbls>
            <c:spPr>
              <a:noFill/>
              <a:ln w="25400">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Sheet1!$B$57:$C$57</c:f>
              <c:strCache>
                <c:ptCount val="2"/>
                <c:pt idx="0">
                  <c:v>财政拨款收入总计（万元）</c:v>
                </c:pt>
                <c:pt idx="1">
                  <c:v>财政拨款支出总计（万元）</c:v>
                </c:pt>
              </c:strCache>
            </c:strRef>
          </c:cat>
          <c:val>
            <c:numRef>
              <c:f>Sheet1!$B$59:$C$59</c:f>
              <c:numCache>
                <c:formatCode>General</c:formatCode>
                <c:ptCount val="2"/>
                <c:pt idx="0">
                  <c:v>2321.3900000000003</c:v>
                </c:pt>
                <c:pt idx="1">
                  <c:v>2321.3900000000003</c:v>
                </c:pt>
              </c:numCache>
            </c:numRef>
          </c:val>
        </c:ser>
        <c:dLbls>
          <c:showVal val="1"/>
        </c:dLbls>
        <c:axId val="57792768"/>
        <c:axId val="56758272"/>
      </c:barChart>
      <c:catAx>
        <c:axId val="57792768"/>
        <c:scaling>
          <c:orientation val="minMax"/>
        </c:scaling>
        <c:axPos val="b"/>
        <c:numFmt formatCode="General" sourceLinked="1"/>
        <c:majorTickMark val="none"/>
        <c:tickLblPos val="nextTo"/>
        <c:spPr>
          <a:ln w="6350"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6758272"/>
        <c:crosses val="autoZero"/>
        <c:auto val="1"/>
        <c:lblAlgn val="ctr"/>
        <c:lblOffset val="100"/>
      </c:catAx>
      <c:valAx>
        <c:axId val="56758272"/>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ln w="6350"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7792768"/>
        <c:crosses val="autoZero"/>
        <c:crossBetween val="between"/>
      </c:valAx>
      <c:spPr>
        <a:noFill/>
        <a:ln w="25400">
          <a:noFill/>
        </a:ln>
        <a:effectLst/>
      </c:spPr>
    </c:plotArea>
    <c:legend>
      <c:legendPos val="r"/>
      <c:layout>
        <c:manualLayout>
          <c:xMode val="edge"/>
          <c:yMode val="edge"/>
          <c:x val="0.89415614517379594"/>
          <c:y val="0.47333473315835606"/>
          <c:w val="9.0047559220974197E-2"/>
          <c:h val="0.15000034995625602"/>
        </c:manualLayout>
      </c:layout>
      <c:spPr>
        <a:noFill/>
        <a:ln w="25400">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5</a:t>
            </a:r>
            <a:r>
              <a:rPr lang="zh-CN" altLang="en-US"/>
              <a:t>：一般公共预算财政拨款支出决算变动情况</a:t>
            </a:r>
          </a:p>
        </c:rich>
      </c:tx>
      <c:layout/>
      <c:spPr>
        <a:noFill/>
        <a:ln w="25400">
          <a:noFill/>
        </a:ln>
      </c:spPr>
    </c:title>
    <c:plotArea>
      <c:layout>
        <c:manualLayout>
          <c:layoutTarget val="inner"/>
          <c:xMode val="edge"/>
          <c:yMode val="edge"/>
          <c:x val="7.5926063234344809E-2"/>
          <c:y val="0.17578158527676602"/>
          <c:w val="0.53518615304208794"/>
          <c:h val="0.68359505385409214"/>
        </c:manualLayout>
      </c:layout>
      <c:barChart>
        <c:barDir val="col"/>
        <c:grouping val="clustered"/>
        <c:ser>
          <c:idx val="0"/>
          <c:order val="0"/>
          <c:tx>
            <c:strRef>
              <c:f>Sheet1!$B$73</c:f>
              <c:strCache>
                <c:ptCount val="1"/>
                <c:pt idx="0">
                  <c:v>一般公共预算财政拨款支出（万元）</c:v>
                </c:pt>
              </c:strCache>
            </c:strRef>
          </c:tx>
          <c:spPr>
            <a:solidFill>
              <a:srgbClr val="5B9BD5"/>
            </a:solidFill>
            <a:ln w="25400">
              <a:noFill/>
            </a:ln>
          </c:spPr>
          <c:dLbls>
            <c:spPr>
              <a:noFill/>
              <a:ln w="25400">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Sheet1!$A$74:$A$75</c:f>
              <c:strCache>
                <c:ptCount val="2"/>
                <c:pt idx="0">
                  <c:v>2018年</c:v>
                </c:pt>
                <c:pt idx="1">
                  <c:v>2019年</c:v>
                </c:pt>
              </c:strCache>
            </c:strRef>
          </c:cat>
          <c:val>
            <c:numRef>
              <c:f>Sheet1!$B$74:$B$75</c:f>
              <c:numCache>
                <c:formatCode>General</c:formatCode>
                <c:ptCount val="2"/>
                <c:pt idx="0">
                  <c:v>1442.6899999999998</c:v>
                </c:pt>
                <c:pt idx="1">
                  <c:v>2302.4900000000002</c:v>
                </c:pt>
              </c:numCache>
            </c:numRef>
          </c:val>
        </c:ser>
        <c:dLbls>
          <c:showVal val="1"/>
        </c:dLbls>
        <c:axId val="56795520"/>
        <c:axId val="56797056"/>
      </c:barChart>
      <c:catAx>
        <c:axId val="56795520"/>
        <c:scaling>
          <c:orientation val="minMax"/>
        </c:scaling>
        <c:axPos val="b"/>
        <c:numFmt formatCode="General" sourceLinked="1"/>
        <c:majorTickMark val="none"/>
        <c:tickLblPos val="nextTo"/>
        <c:spPr>
          <a:ln w="6350"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6797056"/>
        <c:crosses val="autoZero"/>
        <c:auto val="1"/>
        <c:lblAlgn val="ctr"/>
        <c:lblOffset val="100"/>
      </c:catAx>
      <c:valAx>
        <c:axId val="56797056"/>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ln w="6350"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6795520"/>
        <c:crosses val="autoZero"/>
        <c:crossBetween val="between"/>
      </c:valAx>
      <c:spPr>
        <a:noFill/>
        <a:ln w="25400">
          <a:noFill/>
        </a:ln>
        <a:effectLst/>
      </c:spPr>
    </c:plotArea>
    <c:legend>
      <c:legendPos val="r"/>
      <c:layout>
        <c:manualLayout>
          <c:xMode val="edge"/>
          <c:yMode val="edge"/>
          <c:x val="0.66111227763196301"/>
          <c:y val="0.48828207020997411"/>
          <c:w val="0.30370428696413004"/>
          <c:h val="0.144531660104987"/>
        </c:manualLayout>
      </c:layout>
      <c:spPr>
        <a:noFill/>
        <a:ln w="25400">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6</a:t>
            </a:r>
            <a:r>
              <a:rPr lang="zh-CN" altLang="en-US"/>
              <a:t>：一般公共预算财政拨款支出决算结构</a:t>
            </a:r>
          </a:p>
        </c:rich>
      </c:tx>
      <c:layout/>
      <c:spPr>
        <a:noFill/>
        <a:ln w="25400">
          <a:noFill/>
        </a:ln>
      </c:spPr>
    </c:title>
    <c:plotArea>
      <c:layout>
        <c:manualLayout>
          <c:layoutTarget val="inner"/>
          <c:xMode val="edge"/>
          <c:yMode val="edge"/>
          <c:x val="6.4814932029318678E-2"/>
          <c:y val="0.26190563186128801"/>
          <c:w val="0.50926018023035979"/>
          <c:h val="0.58503595688495491"/>
        </c:manualLayout>
      </c:layout>
      <c:pieChart>
        <c:varyColors val="1"/>
        <c:ser>
          <c:idx val="0"/>
          <c:order val="0"/>
          <c:tx>
            <c:strRef>
              <c:f>Sheet1!$A$87</c:f>
              <c:strCache>
                <c:ptCount val="1"/>
                <c:pt idx="0">
                  <c:v>2019年</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Pt>
            <c:idx val="5"/>
            <c:spPr>
              <a:solidFill>
                <a:schemeClr val="accent6"/>
              </a:solidFill>
              <a:ln w="25400">
                <a:solidFill>
                  <a:schemeClr val="lt1"/>
                </a:solidFill>
              </a:ln>
              <a:effectLst/>
              <a:sp3d contourW="25400">
                <a:contourClr>
                  <a:schemeClr val="lt1"/>
                </a:contourClr>
              </a:sp3d>
            </c:spPr>
          </c:dPt>
          <c:dLbls>
            <c:spPr>
              <a:noFill/>
              <a:ln w="25400">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Sheet1!$C$86:$H$86</c:f>
              <c:strCache>
                <c:ptCount val="6"/>
                <c:pt idx="0">
                  <c:v>一般公共服务支出</c:v>
                </c:pt>
                <c:pt idx="1">
                  <c:v>教育支出</c:v>
                </c:pt>
                <c:pt idx="2">
                  <c:v>科学技术支出</c:v>
                </c:pt>
                <c:pt idx="3">
                  <c:v>社会保障和就业（类）支出</c:v>
                </c:pt>
                <c:pt idx="4">
                  <c:v>医疗卫生支出</c:v>
                </c:pt>
                <c:pt idx="5">
                  <c:v>住房保障支出</c:v>
                </c:pt>
              </c:strCache>
            </c:strRef>
          </c:cat>
          <c:val>
            <c:numRef>
              <c:f>Sheet1!$C$88:$H$88</c:f>
              <c:numCache>
                <c:formatCode>0.00%</c:formatCode>
                <c:ptCount val="6"/>
                <c:pt idx="0">
                  <c:v>0.95851882092864693</c:v>
                </c:pt>
                <c:pt idx="1">
                  <c:v>0</c:v>
                </c:pt>
                <c:pt idx="2">
                  <c:v>0</c:v>
                </c:pt>
                <c:pt idx="3">
                  <c:v>1.6408323163184208E-2</c:v>
                </c:pt>
                <c:pt idx="4">
                  <c:v>9.5244713332088404E-3</c:v>
                </c:pt>
                <c:pt idx="5">
                  <c:v>1.5544041450777204E-2</c:v>
                </c:pt>
              </c:numCache>
            </c:numRef>
          </c:val>
        </c:ser>
        <c:dLbls>
          <c:showVal val="1"/>
        </c:dLbls>
        <c:firstSliceAng val="15"/>
      </c:pieChart>
      <c:spPr>
        <a:noFill/>
        <a:ln>
          <a:noFill/>
        </a:ln>
        <a:effectLst/>
      </c:spPr>
    </c:plotArea>
    <c:legend>
      <c:legendPos val="r"/>
      <c:layout>
        <c:manualLayout>
          <c:xMode val="edge"/>
          <c:yMode val="edge"/>
          <c:x val="0.66296412948381511"/>
          <c:y val="0.32313032299534006"/>
          <c:w val="0.30370428696413004"/>
          <c:h val="0.45578374131805005"/>
        </c:manualLayout>
      </c:layout>
      <c:spPr>
        <a:noFill/>
        <a:ln w="25400">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layout/>
      <c:spPr>
        <a:noFill/>
        <a:ln w="25400">
          <a:noFill/>
        </a:ln>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manualLayout>
          <c:layoutTarget val="inner"/>
          <c:xMode val="edge"/>
          <c:yMode val="edge"/>
          <c:x val="6.6666794322139927E-2"/>
          <c:y val="0.30746268656716508"/>
          <c:w val="0.50980489775754001"/>
          <c:h val="0.48358208955223908"/>
        </c:manualLayout>
      </c:layout>
      <c:pieChart>
        <c:varyColors val="1"/>
        <c:ser>
          <c:idx val="0"/>
          <c:order val="0"/>
          <c:tx>
            <c:strRef>
              <c:f>Sheet1!$A$99</c:f>
              <c:strCache>
                <c:ptCount val="1"/>
                <c:pt idx="0">
                  <c:v>图7：“三公”经费财政拨款支出结构</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Lbls>
            <c:dLbl>
              <c:idx val="0"/>
              <c:layout>
                <c:manualLayout>
                  <c:x val="7.4508054140291408E-2"/>
                  <c:y val="-1.1319779057468603E-2"/>
                </c:manualLayout>
              </c:layout>
              <c:dLblPos val="bestFit"/>
              <c:showVal val="1"/>
              <c:extLst>
                <c:ext xmlns:c15="http://schemas.microsoft.com/office/drawing/2012/chart" uri="{CE6537A1-D6FC-4f65-9D91-7224C49458BB}">
                  <c15:layout/>
                </c:ext>
              </c:extLst>
            </c:dLbl>
            <c:dLbl>
              <c:idx val="2"/>
              <c:layout>
                <c:manualLayout>
                  <c:x val="-2.9425145386238506E-2"/>
                  <c:y val="-1.3202021389117405E-2"/>
                </c:manualLayout>
              </c:layout>
              <c:dLblPos val="bestFit"/>
              <c:showVal val="1"/>
              <c:extLst>
                <c:ext xmlns:c15="http://schemas.microsoft.com/office/drawing/2012/chart" uri="{CE6537A1-D6FC-4f65-9D91-7224C49458BB}">
                  <c15:layout/>
                </c:ext>
              </c:extLst>
            </c:dLbl>
            <c:spPr>
              <a:noFill/>
              <a:ln w="25400">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Sheet1!$C$100:$E$100</c:f>
              <c:strCache>
                <c:ptCount val="3"/>
                <c:pt idx="0">
                  <c:v>因公出国（境）费用</c:v>
                </c:pt>
                <c:pt idx="1">
                  <c:v>公务用车购置及运行维护费</c:v>
                </c:pt>
                <c:pt idx="2">
                  <c:v>公务接待费</c:v>
                </c:pt>
              </c:strCache>
            </c:strRef>
          </c:cat>
          <c:val>
            <c:numRef>
              <c:f>Sheet1!$C$102:$E$102</c:f>
              <c:numCache>
                <c:formatCode>0.00%</c:formatCode>
                <c:ptCount val="3"/>
                <c:pt idx="0">
                  <c:v>0</c:v>
                </c:pt>
                <c:pt idx="1">
                  <c:v>0.98942112389979697</c:v>
                </c:pt>
                <c:pt idx="2">
                  <c:v>1.0578876100203102E-2</c:v>
                </c:pt>
              </c:numCache>
            </c:numRef>
          </c:val>
        </c:ser>
        <c:dLbls>
          <c:showVal val="1"/>
        </c:dLbls>
        <c:firstSliceAng val="15"/>
      </c:pieChart>
      <c:spPr>
        <a:noFill/>
        <a:ln>
          <a:noFill/>
        </a:ln>
        <a:effectLst/>
      </c:spPr>
    </c:plotArea>
    <c:legend>
      <c:legendPos val="r"/>
      <c:layout>
        <c:manualLayout>
          <c:xMode val="edge"/>
          <c:yMode val="edge"/>
          <c:x val="0.66862868612011928"/>
          <c:y val="0.38507462686567312"/>
          <c:w val="0.30000061756986413"/>
          <c:h val="0.32835820895522511"/>
        </c:manualLayout>
      </c:layout>
      <c:spPr>
        <a:noFill/>
        <a:ln w="25400">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B9A69-8E46-4854-BE15-0AAA14E718DB}">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5788</Words>
  <Characters>820</Characters>
  <Application>Microsoft Office Word</Application>
  <DocSecurity>0</DocSecurity>
  <Lines>6</Lines>
  <Paragraphs>13</Paragraphs>
  <ScaleCrop>false</ScaleCrop>
  <Company>四川省财政厅</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18</cp:revision>
  <cp:lastPrinted>2020-09-18T02:38:00Z</cp:lastPrinted>
  <dcterms:created xsi:type="dcterms:W3CDTF">2020-09-18T02:01:00Z</dcterms:created>
  <dcterms:modified xsi:type="dcterms:W3CDTF">2020-09-18T02:57:00Z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